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黑体" w:hAnsi="黑体" w:eastAsia="黑体" w:cs="黑体"/>
          <w:kern w:val="0"/>
          <w:sz w:val="36"/>
          <w:szCs w:val="36"/>
        </w:rPr>
      </w:pPr>
      <w:bookmarkStart w:id="0" w:name="_GoBack"/>
      <w:r>
        <w:rPr>
          <w:rFonts w:hint="eastAsia" w:ascii="黑体" w:hAnsi="黑体" w:eastAsia="黑体" w:cs="黑体"/>
          <w:kern w:val="0"/>
          <w:sz w:val="36"/>
          <w:szCs w:val="36"/>
        </w:rPr>
        <w:t>山西省职业院校技能大赛企业合作工作指引（试行）</w:t>
      </w:r>
    </w:p>
    <w:bookmarkEnd w:id="0"/>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为贯彻落实全国全省职业教育大会精神，保障全省职业院校技能大赛企业合作廉洁、公正，参照《全国职业院校技能大赛企业合作管理办法》，结合山西省实际，制订本指引。本工作指引所称合作企业指为大赛提供技术平台、比赛设备、资金、服务和其他实物支持的企业。</w:t>
      </w:r>
    </w:p>
    <w:p>
      <w:pPr>
        <w:autoSpaceDE w:val="0"/>
        <w:autoSpaceDN w:val="0"/>
        <w:adjustRightInd w:val="0"/>
        <w:spacing w:line="560" w:lineRule="exact"/>
        <w:ind w:firstLine="562" w:firstLineChars="200"/>
        <w:jc w:val="left"/>
        <w:rPr>
          <w:rFonts w:ascii="仿宋" w:hAnsi="仿宋" w:eastAsia="仿宋" w:cs="黑体"/>
          <w:b/>
          <w:kern w:val="0"/>
          <w:sz w:val="28"/>
          <w:szCs w:val="28"/>
        </w:rPr>
      </w:pPr>
      <w:r>
        <w:rPr>
          <w:rFonts w:hint="eastAsia" w:ascii="仿宋" w:hAnsi="仿宋" w:eastAsia="仿宋" w:cs="黑体"/>
          <w:b/>
          <w:kern w:val="0"/>
          <w:sz w:val="28"/>
          <w:szCs w:val="28"/>
        </w:rPr>
        <w:t>一、大赛企业合作的宗旨</w:t>
      </w:r>
    </w:p>
    <w:p>
      <w:pPr>
        <w:autoSpaceDE w:val="0"/>
        <w:autoSpaceDN w:val="0"/>
        <w:adjustRightInd w:val="0"/>
        <w:spacing w:line="560" w:lineRule="exact"/>
        <w:ind w:firstLine="420" w:firstLineChars="150"/>
        <w:jc w:val="left"/>
        <w:rPr>
          <w:rFonts w:ascii="仿宋" w:hAnsi="仿宋" w:eastAsia="仿宋" w:cs="FZFSJW--GB1-0"/>
          <w:kern w:val="0"/>
          <w:sz w:val="28"/>
          <w:szCs w:val="28"/>
        </w:rPr>
      </w:pPr>
      <w:r>
        <w:rPr>
          <w:rFonts w:hint="eastAsia" w:ascii="仿宋" w:hAnsi="仿宋" w:eastAsia="仿宋" w:cs="宋体"/>
          <w:kern w:val="0"/>
          <w:sz w:val="28"/>
          <w:szCs w:val="28"/>
        </w:rPr>
        <w:t>（一）保证和推进办赛宗旨的贯彻执行与落实。</w:t>
      </w:r>
    </w:p>
    <w:p>
      <w:pPr>
        <w:autoSpaceDE w:val="0"/>
        <w:autoSpaceDN w:val="0"/>
        <w:adjustRightInd w:val="0"/>
        <w:spacing w:line="560" w:lineRule="exact"/>
        <w:ind w:firstLine="420" w:firstLineChars="150"/>
        <w:jc w:val="left"/>
        <w:rPr>
          <w:rFonts w:ascii="仿宋" w:hAnsi="仿宋" w:eastAsia="仿宋" w:cs="FZFSJW--GB1-0"/>
          <w:kern w:val="0"/>
          <w:sz w:val="28"/>
          <w:szCs w:val="28"/>
        </w:rPr>
      </w:pPr>
      <w:r>
        <w:rPr>
          <w:rFonts w:hint="eastAsia" w:ascii="仿宋" w:hAnsi="仿宋" w:eastAsia="仿宋" w:cs="宋体"/>
          <w:kern w:val="0"/>
          <w:sz w:val="28"/>
          <w:szCs w:val="28"/>
        </w:rPr>
        <w:t>（二）深化产教融合、校企合作，推进职业教育与行业、企业更加广泛、深入的沟通与合作，促进教学改革和专业建设。</w:t>
      </w:r>
    </w:p>
    <w:p>
      <w:pPr>
        <w:autoSpaceDE w:val="0"/>
        <w:autoSpaceDN w:val="0"/>
        <w:adjustRightInd w:val="0"/>
        <w:spacing w:line="560" w:lineRule="exact"/>
        <w:ind w:firstLine="420" w:firstLineChars="150"/>
        <w:jc w:val="left"/>
        <w:rPr>
          <w:rFonts w:ascii="仿宋" w:hAnsi="仿宋" w:eastAsia="仿宋" w:cs="FZFSJW--GB1-0"/>
          <w:kern w:val="0"/>
          <w:sz w:val="28"/>
          <w:szCs w:val="28"/>
        </w:rPr>
      </w:pPr>
      <w:r>
        <w:rPr>
          <w:rFonts w:hint="eastAsia" w:ascii="仿宋" w:hAnsi="仿宋" w:eastAsia="仿宋" w:cs="宋体"/>
          <w:kern w:val="0"/>
          <w:sz w:val="28"/>
          <w:szCs w:val="28"/>
        </w:rPr>
        <w:t>（三）为大赛提供全面可靠的技术、产品、服务和资金支持。</w:t>
      </w:r>
    </w:p>
    <w:p>
      <w:pPr>
        <w:autoSpaceDE w:val="0"/>
        <w:autoSpaceDN w:val="0"/>
        <w:adjustRightInd w:val="0"/>
        <w:spacing w:line="560" w:lineRule="exact"/>
        <w:ind w:firstLine="420" w:firstLineChars="150"/>
        <w:jc w:val="left"/>
        <w:rPr>
          <w:rFonts w:ascii="仿宋" w:hAnsi="仿宋" w:eastAsia="仿宋" w:cs="FZFSJW--GB1-0"/>
          <w:kern w:val="0"/>
          <w:sz w:val="28"/>
          <w:szCs w:val="28"/>
        </w:rPr>
      </w:pPr>
      <w:r>
        <w:rPr>
          <w:rFonts w:hint="eastAsia" w:ascii="仿宋" w:hAnsi="仿宋" w:eastAsia="仿宋" w:cs="宋体"/>
          <w:kern w:val="0"/>
          <w:sz w:val="28"/>
          <w:szCs w:val="28"/>
        </w:rPr>
        <w:t>（四）为关心职业教育、有志与职业教育共同发展的合作企业提供展示平台，展现企业产品、服务及技术特点，助推企业实现社会责任。</w:t>
      </w:r>
    </w:p>
    <w:p>
      <w:pPr>
        <w:autoSpaceDE w:val="0"/>
        <w:autoSpaceDN w:val="0"/>
        <w:adjustRightInd w:val="0"/>
        <w:spacing w:line="560" w:lineRule="exact"/>
        <w:ind w:firstLine="703" w:firstLineChars="250"/>
        <w:jc w:val="left"/>
        <w:rPr>
          <w:rFonts w:ascii="仿宋" w:hAnsi="仿宋" w:eastAsia="仿宋" w:cs="黑体"/>
          <w:b/>
          <w:kern w:val="0"/>
          <w:sz w:val="28"/>
          <w:szCs w:val="28"/>
        </w:rPr>
      </w:pPr>
      <w:r>
        <w:rPr>
          <w:rFonts w:hint="eastAsia" w:ascii="仿宋" w:hAnsi="仿宋" w:eastAsia="仿宋" w:cs="黑体"/>
          <w:b/>
          <w:kern w:val="0"/>
          <w:sz w:val="28"/>
          <w:szCs w:val="28"/>
        </w:rPr>
        <w:t>二、大赛合作企业的基本条件</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（一）独立法人企业。合作企业须是独立法人，能够提供赛事活动或赛项所需的货币、实物或服务。</w:t>
      </w:r>
    </w:p>
    <w:p>
      <w:pPr>
        <w:autoSpaceDE w:val="0"/>
        <w:autoSpaceDN w:val="0"/>
        <w:adjustRightInd w:val="0"/>
        <w:spacing w:line="560" w:lineRule="exact"/>
        <w:ind w:firstLine="560" w:firstLineChars="200"/>
        <w:jc w:val="left"/>
        <w:rPr>
          <w:rFonts w:ascii="仿宋" w:hAnsi="仿宋" w:eastAsia="仿宋"/>
          <w:sz w:val="28"/>
          <w:szCs w:val="28"/>
        </w:rPr>
      </w:pPr>
      <w:r>
        <w:rPr>
          <w:rFonts w:hint="eastAsia" w:ascii="仿宋" w:hAnsi="仿宋" w:eastAsia="仿宋" w:cs="宋体"/>
          <w:kern w:val="0"/>
          <w:sz w:val="28"/>
          <w:szCs w:val="28"/>
        </w:rPr>
        <w:t>（二）企业类型。合作企业须注册</w:t>
      </w:r>
      <w:r>
        <w:rPr>
          <w:rFonts w:ascii="仿宋" w:hAnsi="仿宋" w:eastAsia="仿宋" w:cs="TimesNewRomanPSMT"/>
          <w:kern w:val="0"/>
          <w:sz w:val="28"/>
          <w:szCs w:val="28"/>
        </w:rPr>
        <w:t xml:space="preserve">3 </w:t>
      </w:r>
      <w:r>
        <w:rPr>
          <w:rFonts w:hint="eastAsia" w:ascii="仿宋" w:hAnsi="仿宋" w:eastAsia="仿宋" w:cs="宋体"/>
          <w:kern w:val="0"/>
          <w:sz w:val="28"/>
          <w:szCs w:val="28"/>
        </w:rPr>
        <w:t>年及以上，具有广泛、深度的校企合作基础，原则上是生产性、服务性实体企业。</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（三）企业社会声誉。合作企业应有良好的社会声誉，在近三年参与全国全省职业院校技能大赛中，没有违反合作协议和大赛制度等行为。</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（四）有技能竞赛合作经历，提供的设备技术先进、质量稳定，设备价格合理。对接国赛项目的省赛赛项，原则上合作企业应按国赛技术要求提供设备或技术平台。</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（五）提供设备、技术平台的合作企业，遴选评价指标应参照全国职业院校技能大赛合作企业遴选评价标准。</w:t>
      </w:r>
    </w:p>
    <w:p>
      <w:pPr>
        <w:autoSpaceDE w:val="0"/>
        <w:autoSpaceDN w:val="0"/>
        <w:adjustRightInd w:val="0"/>
        <w:spacing w:line="560" w:lineRule="exact"/>
        <w:ind w:firstLine="562" w:firstLineChars="200"/>
        <w:jc w:val="left"/>
        <w:rPr>
          <w:rFonts w:ascii="仿宋" w:hAnsi="仿宋" w:eastAsia="仿宋" w:cs="黑体"/>
          <w:b/>
          <w:kern w:val="0"/>
          <w:sz w:val="28"/>
          <w:szCs w:val="28"/>
        </w:rPr>
      </w:pPr>
      <w:r>
        <w:rPr>
          <w:rFonts w:hint="eastAsia" w:ascii="仿宋" w:hAnsi="仿宋" w:eastAsia="仿宋" w:cs="黑体"/>
          <w:b/>
          <w:kern w:val="0"/>
          <w:sz w:val="28"/>
          <w:szCs w:val="28"/>
        </w:rPr>
        <w:t>三、合作企业遴选流程</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（一）发布公告。大赛组委会办公室（以下简称大赛办）和各赛项执委会发布征集合作企业公告。公告中应明确以下事项：</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1、举办大赛相关活动或赛项需要的货币、实物和服务；</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2、合作企业可获得的权益；</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3、意向企业需要提交的材料。</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（二）组织申报。意向合作企业向大赛办或赛项执委会提交申报材料。</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（三）组织遴选。</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1、大赛开幕式和主赛场活动的合作企业由大赛办组织遴选。</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2、其他赛项的合作企业由赛项执委会组织专家进行评审遴选。评审专家由该项目所在专业教学指导委员会推荐专家范围，赛项执委会在该范围内确定评审专家。专家选择和合作企业遴选工作均需在承办学校或其主管单位纪检部门监督下开展，其中涉及比赛用设备或技术平台的合作企业遴选工作还需邀请当地公证处全程参与，全程录像备查。</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（四）遴选结果的确定。根据不同合作内容，大赛办或各赛项执委会确定合作企业。</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（五）签订协议。合作企业提供货币、实物和服务的，与大赛办或赛项执委会签订协议。</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（六）公布名单。大赛办或赛项执委会遴选结果在大赛相关网站公布，其中赛项执委会遴选结果还须报全省大赛组委会备案。</w:t>
      </w:r>
    </w:p>
    <w:p>
      <w:pPr>
        <w:autoSpaceDE w:val="0"/>
        <w:autoSpaceDN w:val="0"/>
        <w:adjustRightInd w:val="0"/>
        <w:spacing w:line="560" w:lineRule="exact"/>
        <w:ind w:firstLine="562" w:firstLineChars="200"/>
        <w:jc w:val="left"/>
        <w:rPr>
          <w:rFonts w:ascii="仿宋" w:hAnsi="仿宋" w:eastAsia="仿宋" w:cs="黑体"/>
          <w:b/>
          <w:kern w:val="0"/>
          <w:sz w:val="28"/>
          <w:szCs w:val="28"/>
        </w:rPr>
      </w:pPr>
      <w:r>
        <w:rPr>
          <w:rFonts w:hint="eastAsia" w:ascii="仿宋" w:hAnsi="仿宋" w:eastAsia="仿宋" w:cs="黑体"/>
          <w:b/>
          <w:kern w:val="0"/>
          <w:sz w:val="28"/>
          <w:szCs w:val="28"/>
        </w:rPr>
        <w:t>四、大赛合作企业的权益</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合作企业享有使用山西省职业院校技能大赛或某项比赛品牌进行有限宣传的权利，包括经大赛办或赛项执委会同意，在所属行业内使用“年度山西省职业院校技能大赛或某项比赛”标志和称谓的市场营销权、提供产品和服务、媒体和公关活动、广告和展示机会、活动优先合作、现场接待、荣誉待遇等，具体权益内容由大赛办和各赛项执委会在招募公告中明示。</w:t>
      </w:r>
    </w:p>
    <w:p>
      <w:pPr>
        <w:autoSpaceDE w:val="0"/>
        <w:autoSpaceDN w:val="0"/>
        <w:adjustRightInd w:val="0"/>
        <w:spacing w:line="560" w:lineRule="exact"/>
        <w:ind w:firstLine="562" w:firstLineChars="200"/>
        <w:jc w:val="left"/>
        <w:rPr>
          <w:rFonts w:ascii="仿宋" w:hAnsi="仿宋" w:eastAsia="仿宋" w:cs="黑体"/>
          <w:b/>
          <w:kern w:val="0"/>
          <w:sz w:val="28"/>
          <w:szCs w:val="28"/>
        </w:rPr>
      </w:pPr>
      <w:r>
        <w:rPr>
          <w:rFonts w:hint="eastAsia" w:ascii="仿宋" w:hAnsi="仿宋" w:eastAsia="仿宋" w:cs="黑体"/>
          <w:b/>
          <w:kern w:val="0"/>
          <w:sz w:val="28"/>
          <w:szCs w:val="28"/>
        </w:rPr>
        <w:t>五、合作协议的内容</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确定合作企业后，双方签定合作协议，协议内容应包括但不限于下列内容：</w:t>
      </w:r>
    </w:p>
    <w:p>
      <w:pPr>
        <w:autoSpaceDE w:val="0"/>
        <w:autoSpaceDN w:val="0"/>
        <w:adjustRightInd w:val="0"/>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1、拟合作的赛项或相关赛事活动。</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2、向大赛提供的支持内容（货币、实物和服务）及数量。</w:t>
      </w:r>
    </w:p>
    <w:p>
      <w:pPr>
        <w:autoSpaceDE w:val="0"/>
        <w:autoSpaceDN w:val="0"/>
        <w:adjustRightInd w:val="0"/>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3、提供竞赛实物一览表（设备、技术平台、耗材等）、技术文件、用户说明书。</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4、配合大赛筹备进程开展相关工作的时间安排。</w:t>
      </w:r>
    </w:p>
    <w:p>
      <w:pPr>
        <w:autoSpaceDE w:val="0"/>
        <w:autoSpaceDN w:val="0"/>
        <w:adjustRightInd w:val="0"/>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5、面向参赛选手、指导教师免费开展赛前培训。</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6、承诺向参赛院校提供竞赛设备的优惠价格（不得高于政府采购价格）。</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其他合作内容。</w:t>
      </w:r>
    </w:p>
    <w:p>
      <w:pPr>
        <w:autoSpaceDE w:val="0"/>
        <w:autoSpaceDN w:val="0"/>
        <w:adjustRightInd w:val="0"/>
        <w:spacing w:line="560" w:lineRule="exact"/>
        <w:ind w:firstLine="562" w:firstLineChars="200"/>
        <w:jc w:val="left"/>
        <w:rPr>
          <w:rFonts w:ascii="仿宋" w:hAnsi="仿宋" w:eastAsia="仿宋" w:cs="黑体"/>
          <w:b/>
          <w:kern w:val="0"/>
          <w:sz w:val="28"/>
          <w:szCs w:val="28"/>
        </w:rPr>
      </w:pPr>
      <w:r>
        <w:rPr>
          <w:rFonts w:hint="eastAsia" w:ascii="仿宋" w:hAnsi="仿宋" w:eastAsia="仿宋" w:cs="黑体"/>
          <w:b/>
          <w:kern w:val="0"/>
          <w:sz w:val="28"/>
          <w:szCs w:val="28"/>
        </w:rPr>
        <w:t>六、大赛合作企业的义务和纪律</w:t>
      </w:r>
    </w:p>
    <w:p>
      <w:pPr>
        <w:autoSpaceDE w:val="0"/>
        <w:autoSpaceDN w:val="0"/>
        <w:adjustRightInd w:val="0"/>
        <w:spacing w:line="560" w:lineRule="exact"/>
        <w:ind w:firstLine="420" w:firstLineChars="150"/>
        <w:jc w:val="left"/>
        <w:rPr>
          <w:rFonts w:ascii="仿宋" w:hAnsi="仿宋" w:eastAsia="仿宋" w:cs="FZFSJW--GB1-0"/>
          <w:kern w:val="0"/>
          <w:sz w:val="28"/>
          <w:szCs w:val="28"/>
        </w:rPr>
      </w:pPr>
      <w:r>
        <w:rPr>
          <w:rFonts w:hint="eastAsia" w:ascii="仿宋" w:hAnsi="仿宋" w:eastAsia="仿宋" w:cs="宋体"/>
          <w:kern w:val="0"/>
          <w:sz w:val="28"/>
          <w:szCs w:val="28"/>
        </w:rPr>
        <w:t>（一）遵守大赛的各项制度和流程。</w:t>
      </w:r>
    </w:p>
    <w:p>
      <w:pPr>
        <w:autoSpaceDE w:val="0"/>
        <w:autoSpaceDN w:val="0"/>
        <w:adjustRightInd w:val="0"/>
        <w:spacing w:line="560" w:lineRule="exact"/>
        <w:ind w:firstLine="420" w:firstLineChars="150"/>
        <w:jc w:val="left"/>
        <w:rPr>
          <w:rFonts w:ascii="仿宋" w:hAnsi="仿宋" w:eastAsia="仿宋" w:cs="FZFSJW--GB1-0"/>
          <w:kern w:val="0"/>
          <w:sz w:val="28"/>
          <w:szCs w:val="28"/>
        </w:rPr>
      </w:pPr>
      <w:r>
        <w:rPr>
          <w:rFonts w:hint="eastAsia" w:ascii="仿宋" w:hAnsi="仿宋" w:eastAsia="仿宋" w:cs="宋体"/>
          <w:kern w:val="0"/>
          <w:sz w:val="28"/>
          <w:szCs w:val="28"/>
        </w:rPr>
        <w:t>（二）提供给大赛办和赛项的竞赛设备、技术和平台可靠、产品成熟、使用安全，符合国家标准和行业标准，符合职业院校相关专业实训基地建设需要。合作企业负责给赛项的竞赛器材提供免费的运输、安装和调试，并达到竞赛规程要求。</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（三）企业应以不高于承诺价格和同类产品市场价格向备赛院校和市级选拔赛赛会提供竞赛器材。</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（四）赛项竞赛设备供应企业须负责竞赛场地、竞赛设备的维护和技术支持。</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（五）合作企业要保证竞赛设备供应及时，并提供优质售后服务。</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（六）合作企业应保持竞赛技术平台（包括设备型号配置及软件）相对稳定。</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（七）合作企业应配合做好竞赛技术平台相关可靠性测试，制定竞赛应急处理预案。竞赛过程中若出现技术平台故障，合作企业必须及时配合裁判长等相关人员，提出妥善的处置方案。</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（八）大赛合作企业应遵守以下纪律：</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1.不得直接或间接以技能大赛名义违规培训；</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2.不得直接或间接参与赛题设计、结果评判等涉及大赛比赛成绩的工作；</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3.不得违背商业道德，欺骗参赛院校；</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4.不得在产品销售中使实际供货价格高于承诺价格；</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5.不得在言行上损害技能大赛和相关单位与个人的形象；</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6.不得在正式公布合作企业前，以大赛名义做任何广告宣传及设备平台宣传；</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7.不得违反廉洁规范办赛的有关规定。</w:t>
      </w:r>
    </w:p>
    <w:p>
      <w:pPr>
        <w:autoSpaceDE w:val="0"/>
        <w:autoSpaceDN w:val="0"/>
        <w:adjustRightInd w:val="0"/>
        <w:spacing w:line="560" w:lineRule="exact"/>
        <w:ind w:firstLine="560" w:firstLineChars="200"/>
        <w:jc w:val="left"/>
        <w:rPr>
          <w:rFonts w:ascii="仿宋" w:hAnsi="仿宋" w:eastAsia="仿宋" w:cs="FZFSJW--GB1-0"/>
          <w:kern w:val="0"/>
          <w:sz w:val="28"/>
          <w:szCs w:val="28"/>
        </w:rPr>
      </w:pPr>
      <w:r>
        <w:rPr>
          <w:rFonts w:hint="eastAsia" w:ascii="仿宋" w:hAnsi="仿宋" w:eastAsia="仿宋" w:cs="宋体"/>
          <w:kern w:val="0"/>
          <w:sz w:val="28"/>
          <w:szCs w:val="28"/>
        </w:rPr>
        <w:t>（九）大赛合作企业实行退出机制，对违反大赛制度、服务不到位、被举报有不良行为且被查实、未履行合作协议的企业，以及竞赛技术平台出现一定范围的影响赛事正常进行的技术故障，将取消</w:t>
      </w:r>
      <w:r>
        <w:rPr>
          <w:rFonts w:ascii="仿宋" w:hAnsi="仿宋" w:eastAsia="仿宋" w:cs="TimesNewRomanPSMT"/>
          <w:kern w:val="0"/>
          <w:sz w:val="28"/>
          <w:szCs w:val="28"/>
        </w:rPr>
        <w:t xml:space="preserve">3 </w:t>
      </w:r>
      <w:r>
        <w:rPr>
          <w:rFonts w:hint="eastAsia" w:ascii="仿宋" w:hAnsi="仿宋" w:eastAsia="仿宋" w:cs="宋体"/>
          <w:kern w:val="0"/>
          <w:sz w:val="28"/>
          <w:szCs w:val="28"/>
        </w:rPr>
        <w:t>年参与大赛的资格。</w:t>
      </w:r>
    </w:p>
    <w:p>
      <w:pPr>
        <w:autoSpaceDE w:val="0"/>
        <w:autoSpaceDN w:val="0"/>
        <w:adjustRightInd w:val="0"/>
        <w:spacing w:line="560" w:lineRule="exact"/>
        <w:ind w:firstLine="560" w:firstLineChars="200"/>
        <w:jc w:val="left"/>
        <w:rPr>
          <w:sz w:val="28"/>
          <w:szCs w:val="28"/>
        </w:rPr>
        <w:sectPr>
          <w:pgSz w:w="11906" w:h="16838"/>
          <w:pgMar w:top="1440" w:right="1418" w:bottom="1440" w:left="1531" w:header="851" w:footer="992" w:gutter="0"/>
          <w:cols w:space="425" w:num="1"/>
          <w:docGrid w:type="lines" w:linePitch="312" w:charSpace="0"/>
        </w:sectPr>
      </w:pPr>
      <w:r>
        <w:rPr>
          <w:rFonts w:hint="eastAsia" w:ascii="仿宋" w:hAnsi="仿宋" w:eastAsia="仿宋" w:cs="宋体"/>
          <w:kern w:val="0"/>
          <w:sz w:val="28"/>
          <w:szCs w:val="28"/>
        </w:rPr>
        <w:t>附：全省职业院校技能大赛设备和技术平台合作企业遴选</w:t>
      </w:r>
      <w:r>
        <w:rPr>
          <w:rFonts w:hint="eastAsia" w:ascii="宋体" w:hAnsi="宋体" w:eastAsia="宋体" w:cs="宋体"/>
          <w:kern w:val="0"/>
          <w:sz w:val="28"/>
          <w:szCs w:val="28"/>
        </w:rPr>
        <w:t>评价标准</w:t>
      </w:r>
    </w:p>
    <w:p>
      <w:pPr>
        <w:ind w:right="280"/>
        <w:jc w:val="center"/>
        <w:rPr>
          <w:rFonts w:ascii="黑体" w:hAnsi="黑体" w:eastAsia="黑体"/>
          <w:sz w:val="28"/>
        </w:rPr>
      </w:pPr>
      <w:r>
        <w:rPr>
          <w:rFonts w:hint="eastAsia" w:ascii="黑体" w:hAnsi="黑体" w:eastAsia="黑体" w:cs="楷体"/>
          <w:kern w:val="0"/>
          <w:sz w:val="32"/>
          <w:szCs w:val="32"/>
        </w:rPr>
        <w:t>2023年山西省十七届职业院校技能大赛合作企业遴选评分表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992"/>
        <w:gridCol w:w="7938"/>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spacing w:line="360" w:lineRule="auto"/>
              <w:ind w:right="280"/>
              <w:rPr>
                <w:rFonts w:ascii="宋体" w:hAnsi="宋体"/>
                <w:b/>
                <w:kern w:val="0"/>
                <w:sz w:val="24"/>
                <w:szCs w:val="24"/>
              </w:rPr>
            </w:pPr>
            <w:r>
              <w:rPr>
                <w:rFonts w:hint="eastAsia" w:ascii="宋体" w:hAnsi="宋体" w:cs="宋体"/>
                <w:b/>
                <w:bCs/>
                <w:kern w:val="0"/>
                <w:sz w:val="24"/>
                <w:szCs w:val="24"/>
              </w:rPr>
              <w:t>评价项分</w:t>
            </w:r>
          </w:p>
        </w:tc>
        <w:tc>
          <w:tcPr>
            <w:tcW w:w="992" w:type="dxa"/>
            <w:vAlign w:val="center"/>
          </w:tcPr>
          <w:p>
            <w:pPr>
              <w:spacing w:line="360" w:lineRule="auto"/>
              <w:ind w:right="280"/>
              <w:jc w:val="center"/>
              <w:rPr>
                <w:rFonts w:ascii="宋体" w:hAnsi="宋体"/>
                <w:b/>
                <w:w w:val="90"/>
                <w:kern w:val="0"/>
                <w:sz w:val="24"/>
                <w:szCs w:val="24"/>
              </w:rPr>
            </w:pPr>
            <w:r>
              <w:rPr>
                <w:rFonts w:hint="eastAsia" w:ascii="宋体" w:hAnsi="宋体" w:cs="宋体"/>
                <w:b/>
                <w:bCs/>
                <w:kern w:val="0"/>
                <w:sz w:val="24"/>
                <w:szCs w:val="24"/>
              </w:rPr>
              <w:t>分值</w:t>
            </w:r>
          </w:p>
        </w:tc>
        <w:tc>
          <w:tcPr>
            <w:tcW w:w="7938" w:type="dxa"/>
            <w:vAlign w:val="center"/>
          </w:tcPr>
          <w:p>
            <w:pPr>
              <w:spacing w:line="360" w:lineRule="auto"/>
              <w:ind w:right="280"/>
              <w:rPr>
                <w:rFonts w:ascii="宋体" w:hAnsi="宋体"/>
                <w:b/>
                <w:kern w:val="0"/>
                <w:sz w:val="24"/>
                <w:szCs w:val="24"/>
              </w:rPr>
            </w:pPr>
            <w:r>
              <w:rPr>
                <w:rFonts w:hint="eastAsia" w:ascii="宋体" w:hAnsi="宋体"/>
                <w:b/>
                <w:kern w:val="0"/>
                <w:sz w:val="24"/>
                <w:szCs w:val="24"/>
              </w:rPr>
              <w:t>评分标准</w:t>
            </w:r>
          </w:p>
        </w:tc>
        <w:tc>
          <w:tcPr>
            <w:tcW w:w="1025" w:type="dxa"/>
            <w:vAlign w:val="center"/>
          </w:tcPr>
          <w:p>
            <w:pPr>
              <w:spacing w:line="360" w:lineRule="auto"/>
              <w:ind w:right="280"/>
              <w:rPr>
                <w:rFonts w:ascii="宋体" w:hAnsi="宋体"/>
                <w:b/>
                <w:kern w:val="0"/>
                <w:sz w:val="24"/>
                <w:szCs w:val="24"/>
              </w:rPr>
            </w:pPr>
            <w:r>
              <w:rPr>
                <w:rFonts w:hint="eastAsia" w:ascii="宋体" w:hAnsi="宋体"/>
                <w:b/>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219" w:type="dxa"/>
            <w:vMerge w:val="restart"/>
            <w:vAlign w:val="center"/>
          </w:tcPr>
          <w:p>
            <w:pPr>
              <w:autoSpaceDE w:val="0"/>
              <w:autoSpaceDN w:val="0"/>
              <w:adjustRightInd w:val="0"/>
              <w:spacing w:line="360" w:lineRule="auto"/>
              <w:rPr>
                <w:rFonts w:ascii="宋体" w:hAnsi="宋体" w:cs="仿宋"/>
                <w:kern w:val="0"/>
                <w:sz w:val="24"/>
                <w:szCs w:val="24"/>
              </w:rPr>
            </w:pPr>
            <w:r>
              <w:rPr>
                <w:rFonts w:hint="eastAsia" w:ascii="宋体" w:hAnsi="宋体" w:cs="仿宋"/>
                <w:kern w:val="0"/>
                <w:sz w:val="24"/>
                <w:szCs w:val="24"/>
              </w:rPr>
              <w:t>一、企业基本情况</w:t>
            </w:r>
          </w:p>
          <w:p>
            <w:pPr>
              <w:autoSpaceDE w:val="0"/>
              <w:autoSpaceDN w:val="0"/>
              <w:adjustRightInd w:val="0"/>
              <w:spacing w:line="360" w:lineRule="auto"/>
              <w:rPr>
                <w:rFonts w:ascii="宋体" w:hAnsi="宋体" w:cs="仿宋"/>
                <w:kern w:val="0"/>
                <w:sz w:val="24"/>
                <w:szCs w:val="24"/>
              </w:rPr>
            </w:pPr>
            <w:r>
              <w:rPr>
                <w:rFonts w:hint="eastAsia" w:ascii="宋体" w:hAnsi="宋体" w:cs="仿宋"/>
                <w:kern w:val="0"/>
                <w:sz w:val="24"/>
                <w:szCs w:val="24"/>
              </w:rPr>
              <w:t>主要从企业独立法人资格、企业资</w:t>
            </w:r>
          </w:p>
          <w:p>
            <w:pPr>
              <w:autoSpaceDE w:val="0"/>
              <w:autoSpaceDN w:val="0"/>
              <w:adjustRightInd w:val="0"/>
              <w:spacing w:line="360" w:lineRule="auto"/>
              <w:rPr>
                <w:rFonts w:ascii="宋体" w:hAnsi="宋体" w:cs="仿宋"/>
                <w:kern w:val="0"/>
                <w:sz w:val="24"/>
                <w:szCs w:val="24"/>
              </w:rPr>
            </w:pPr>
            <w:r>
              <w:rPr>
                <w:rFonts w:hint="eastAsia" w:ascii="宋体" w:hAnsi="宋体" w:cs="仿宋"/>
                <w:kern w:val="0"/>
                <w:sz w:val="24"/>
                <w:szCs w:val="24"/>
              </w:rPr>
              <w:t>信、经营情况、市场地位（市场份额）</w:t>
            </w:r>
          </w:p>
          <w:p>
            <w:pPr>
              <w:spacing w:line="360" w:lineRule="auto"/>
              <w:ind w:right="280"/>
              <w:rPr>
                <w:rFonts w:ascii="宋体" w:hAnsi="宋体"/>
                <w:kern w:val="0"/>
                <w:sz w:val="24"/>
                <w:szCs w:val="24"/>
              </w:rPr>
            </w:pPr>
            <w:r>
              <w:rPr>
                <w:rFonts w:hint="eastAsia" w:ascii="宋体" w:hAnsi="宋体" w:cs="仿宋"/>
                <w:kern w:val="0"/>
                <w:sz w:val="24"/>
                <w:szCs w:val="24"/>
              </w:rPr>
              <w:t>及社会声誉等方面评价。</w:t>
            </w:r>
          </w:p>
        </w:tc>
        <w:tc>
          <w:tcPr>
            <w:tcW w:w="992" w:type="dxa"/>
            <w:vMerge w:val="restart"/>
            <w:vAlign w:val="center"/>
          </w:tcPr>
          <w:p>
            <w:pPr>
              <w:spacing w:line="360" w:lineRule="auto"/>
              <w:ind w:right="280"/>
              <w:jc w:val="center"/>
              <w:rPr>
                <w:rFonts w:ascii="宋体" w:hAnsi="宋体"/>
                <w:kern w:val="0"/>
                <w:sz w:val="24"/>
                <w:szCs w:val="24"/>
              </w:rPr>
            </w:pPr>
            <w:r>
              <w:rPr>
                <w:rFonts w:hint="eastAsia" w:ascii="宋体" w:hAnsi="宋体"/>
                <w:kern w:val="0"/>
                <w:sz w:val="24"/>
                <w:szCs w:val="24"/>
              </w:rPr>
              <w:t>20</w:t>
            </w:r>
          </w:p>
        </w:tc>
        <w:tc>
          <w:tcPr>
            <w:tcW w:w="7938" w:type="dxa"/>
            <w:vAlign w:val="center"/>
          </w:tcPr>
          <w:p>
            <w:pPr>
              <w:autoSpaceDE w:val="0"/>
              <w:autoSpaceDN w:val="0"/>
              <w:adjustRightInd w:val="0"/>
              <w:spacing w:line="440" w:lineRule="exact"/>
              <w:rPr>
                <w:rFonts w:ascii="宋体" w:hAnsi="宋体"/>
                <w:kern w:val="0"/>
                <w:sz w:val="24"/>
                <w:szCs w:val="24"/>
              </w:rPr>
            </w:pPr>
            <w:r>
              <w:rPr>
                <w:rFonts w:ascii="宋体" w:hAnsi="宋体" w:cs="仿宋"/>
                <w:kern w:val="0"/>
                <w:sz w:val="24"/>
                <w:szCs w:val="24"/>
              </w:rPr>
              <w:t>1.</w:t>
            </w:r>
            <w:r>
              <w:rPr>
                <w:rFonts w:hint="eastAsia" w:ascii="宋体" w:hAnsi="宋体" w:cs="仿宋"/>
                <w:kern w:val="0"/>
                <w:sz w:val="24"/>
                <w:szCs w:val="24"/>
              </w:rPr>
              <w:t>企业资信：企业近三年获得行业最高级资信证书得</w:t>
            </w:r>
            <w:r>
              <w:rPr>
                <w:rFonts w:ascii="宋体" w:hAnsi="宋体" w:cs="仿宋"/>
                <w:kern w:val="0"/>
                <w:sz w:val="24"/>
                <w:szCs w:val="24"/>
              </w:rPr>
              <w:t xml:space="preserve">5 </w:t>
            </w:r>
            <w:r>
              <w:rPr>
                <w:rFonts w:hint="eastAsia" w:ascii="宋体" w:hAnsi="宋体" w:cs="仿宋"/>
                <w:kern w:val="0"/>
                <w:sz w:val="24"/>
                <w:szCs w:val="24"/>
              </w:rPr>
              <w:t>分，次高级资信证书得</w:t>
            </w:r>
            <w:r>
              <w:rPr>
                <w:rFonts w:ascii="宋体" w:hAnsi="宋体" w:cs="仿宋"/>
                <w:kern w:val="0"/>
                <w:sz w:val="24"/>
                <w:szCs w:val="24"/>
              </w:rPr>
              <w:t>3</w:t>
            </w:r>
            <w:r>
              <w:rPr>
                <w:rFonts w:hint="eastAsia" w:ascii="宋体" w:hAnsi="宋体" w:cs="仿宋"/>
                <w:kern w:val="0"/>
                <w:sz w:val="24"/>
                <w:szCs w:val="24"/>
              </w:rPr>
              <w:t>分，达不到不得分。</w:t>
            </w:r>
          </w:p>
        </w:tc>
        <w:tc>
          <w:tcPr>
            <w:tcW w:w="1025" w:type="dxa"/>
            <w:vAlign w:val="center"/>
          </w:tcPr>
          <w:p>
            <w:pPr>
              <w:spacing w:line="360" w:lineRule="auto"/>
              <w:ind w:right="280"/>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Merge w:val="continue"/>
            <w:vAlign w:val="center"/>
          </w:tcPr>
          <w:p>
            <w:pPr>
              <w:spacing w:line="360" w:lineRule="auto"/>
              <w:ind w:right="280"/>
              <w:rPr>
                <w:rFonts w:ascii="宋体" w:hAnsi="宋体"/>
                <w:kern w:val="0"/>
                <w:sz w:val="24"/>
                <w:szCs w:val="24"/>
              </w:rPr>
            </w:pPr>
          </w:p>
        </w:tc>
        <w:tc>
          <w:tcPr>
            <w:tcW w:w="992" w:type="dxa"/>
            <w:vMerge w:val="continue"/>
            <w:vAlign w:val="center"/>
          </w:tcPr>
          <w:p>
            <w:pPr>
              <w:spacing w:line="360" w:lineRule="auto"/>
              <w:ind w:right="280"/>
              <w:jc w:val="center"/>
              <w:rPr>
                <w:rFonts w:ascii="宋体" w:hAnsi="宋体"/>
                <w:kern w:val="0"/>
                <w:sz w:val="24"/>
                <w:szCs w:val="24"/>
              </w:rPr>
            </w:pPr>
          </w:p>
        </w:tc>
        <w:tc>
          <w:tcPr>
            <w:tcW w:w="7938" w:type="dxa"/>
            <w:vAlign w:val="center"/>
          </w:tcPr>
          <w:p>
            <w:pPr>
              <w:autoSpaceDE w:val="0"/>
              <w:autoSpaceDN w:val="0"/>
              <w:adjustRightInd w:val="0"/>
              <w:spacing w:line="440" w:lineRule="exact"/>
              <w:jc w:val="left"/>
              <w:rPr>
                <w:rFonts w:ascii="宋体" w:hAnsi="宋体"/>
                <w:kern w:val="0"/>
                <w:sz w:val="24"/>
                <w:szCs w:val="24"/>
              </w:rPr>
            </w:pPr>
            <w:r>
              <w:rPr>
                <w:rFonts w:hint="eastAsia" w:ascii="宋体" w:hAnsi="宋体" w:cs="仿宋"/>
                <w:kern w:val="0"/>
                <w:sz w:val="24"/>
                <w:szCs w:val="24"/>
              </w:rPr>
              <w:t>2</w:t>
            </w:r>
            <w:r>
              <w:rPr>
                <w:rFonts w:ascii="宋体" w:hAnsi="宋体" w:cs="仿宋"/>
                <w:kern w:val="0"/>
                <w:sz w:val="24"/>
                <w:szCs w:val="24"/>
              </w:rPr>
              <w:t>.</w:t>
            </w:r>
            <w:r>
              <w:rPr>
                <w:rFonts w:hint="eastAsia" w:ascii="宋体" w:hAnsi="宋体" w:cs="仿宋"/>
                <w:kern w:val="0"/>
                <w:sz w:val="24"/>
                <w:szCs w:val="24"/>
              </w:rPr>
              <w:t>国家产教融合型企业，教育部公布的现代学徒制试点企业，满足一项即可得</w:t>
            </w:r>
            <w:r>
              <w:rPr>
                <w:rFonts w:ascii="宋体" w:hAnsi="宋体" w:cs="仿宋"/>
                <w:kern w:val="0"/>
                <w:sz w:val="24"/>
                <w:szCs w:val="24"/>
              </w:rPr>
              <w:t xml:space="preserve">7 </w:t>
            </w:r>
            <w:r>
              <w:rPr>
                <w:rFonts w:hint="eastAsia" w:ascii="宋体" w:hAnsi="宋体" w:cs="仿宋"/>
                <w:kern w:val="0"/>
                <w:sz w:val="24"/>
                <w:szCs w:val="24"/>
              </w:rPr>
              <w:t>分；</w:t>
            </w:r>
            <w:r>
              <w:rPr>
                <w:rFonts w:hint="eastAsia" w:ascii="宋体" w:hAnsi="Times New Roman" w:cs="宋体"/>
                <w:kern w:val="0"/>
                <w:sz w:val="24"/>
                <w:szCs w:val="24"/>
              </w:rPr>
              <w:t>规模以上企业、省级产教融合型企业、省级现代学徒制合作企业，满足一项得</w:t>
            </w:r>
            <w:r>
              <w:rPr>
                <w:rFonts w:ascii="宋体" w:hAnsi="Times New Roman" w:cs="宋体"/>
                <w:kern w:val="0"/>
                <w:sz w:val="24"/>
                <w:szCs w:val="24"/>
              </w:rPr>
              <w:t xml:space="preserve">4 </w:t>
            </w:r>
            <w:r>
              <w:rPr>
                <w:rFonts w:hint="eastAsia" w:ascii="宋体" w:hAnsi="Times New Roman" w:cs="宋体"/>
                <w:kern w:val="0"/>
                <w:sz w:val="24"/>
                <w:szCs w:val="24"/>
              </w:rPr>
              <w:t>分</w:t>
            </w:r>
            <w:r>
              <w:rPr>
                <w:rFonts w:hint="eastAsia" w:ascii="宋体" w:hAnsi="宋体" w:cs="仿宋"/>
                <w:kern w:val="0"/>
                <w:sz w:val="24"/>
                <w:szCs w:val="24"/>
              </w:rPr>
              <w:t>；都不满足得</w:t>
            </w:r>
            <w:r>
              <w:rPr>
                <w:rFonts w:ascii="宋体" w:hAnsi="宋体" w:cs="仿宋"/>
                <w:kern w:val="0"/>
                <w:sz w:val="24"/>
                <w:szCs w:val="24"/>
              </w:rPr>
              <w:t xml:space="preserve">0 </w:t>
            </w:r>
            <w:r>
              <w:rPr>
                <w:rFonts w:hint="eastAsia" w:ascii="宋体" w:hAnsi="宋体" w:cs="仿宋"/>
                <w:kern w:val="0"/>
                <w:sz w:val="24"/>
                <w:szCs w:val="24"/>
              </w:rPr>
              <w:t>分。</w:t>
            </w:r>
          </w:p>
        </w:tc>
        <w:tc>
          <w:tcPr>
            <w:tcW w:w="1025" w:type="dxa"/>
            <w:vAlign w:val="center"/>
          </w:tcPr>
          <w:p>
            <w:pPr>
              <w:spacing w:line="360" w:lineRule="auto"/>
              <w:ind w:right="280"/>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Merge w:val="continue"/>
            <w:vAlign w:val="center"/>
          </w:tcPr>
          <w:p>
            <w:pPr>
              <w:spacing w:line="360" w:lineRule="auto"/>
              <w:ind w:right="280"/>
              <w:rPr>
                <w:rFonts w:ascii="宋体" w:hAnsi="宋体"/>
                <w:kern w:val="0"/>
                <w:sz w:val="24"/>
                <w:szCs w:val="24"/>
              </w:rPr>
            </w:pPr>
          </w:p>
        </w:tc>
        <w:tc>
          <w:tcPr>
            <w:tcW w:w="992" w:type="dxa"/>
            <w:vMerge w:val="continue"/>
            <w:vAlign w:val="center"/>
          </w:tcPr>
          <w:p>
            <w:pPr>
              <w:spacing w:line="360" w:lineRule="auto"/>
              <w:ind w:right="280"/>
              <w:jc w:val="center"/>
              <w:rPr>
                <w:rFonts w:ascii="宋体" w:hAnsi="宋体"/>
                <w:kern w:val="0"/>
                <w:sz w:val="24"/>
                <w:szCs w:val="24"/>
              </w:rPr>
            </w:pPr>
          </w:p>
        </w:tc>
        <w:tc>
          <w:tcPr>
            <w:tcW w:w="7938" w:type="dxa"/>
            <w:vAlign w:val="center"/>
          </w:tcPr>
          <w:p>
            <w:pPr>
              <w:autoSpaceDE w:val="0"/>
              <w:autoSpaceDN w:val="0"/>
              <w:adjustRightInd w:val="0"/>
              <w:spacing w:line="440" w:lineRule="exact"/>
              <w:rPr>
                <w:rFonts w:ascii="宋体" w:hAnsi="宋体"/>
                <w:kern w:val="0"/>
                <w:sz w:val="24"/>
                <w:szCs w:val="24"/>
              </w:rPr>
            </w:pPr>
            <w:r>
              <w:rPr>
                <w:rFonts w:hint="eastAsia" w:ascii="宋体" w:hAnsi="宋体" w:cs="仿宋"/>
                <w:kern w:val="0"/>
                <w:sz w:val="24"/>
                <w:szCs w:val="24"/>
              </w:rPr>
              <w:t>3</w:t>
            </w:r>
            <w:r>
              <w:rPr>
                <w:rFonts w:ascii="宋体" w:hAnsi="宋体" w:cs="仿宋"/>
                <w:kern w:val="0"/>
                <w:sz w:val="24"/>
                <w:szCs w:val="24"/>
              </w:rPr>
              <w:t>.</w:t>
            </w:r>
            <w:r>
              <w:rPr>
                <w:rFonts w:hint="eastAsia" w:ascii="宋体" w:hAnsi="宋体" w:cs="仿宋"/>
                <w:kern w:val="0"/>
                <w:sz w:val="24"/>
                <w:szCs w:val="24"/>
              </w:rPr>
              <w:t>社会声誉：企业在近三年中获得国家级荣誉得</w:t>
            </w:r>
            <w:r>
              <w:rPr>
                <w:rFonts w:ascii="宋体" w:hAnsi="宋体" w:cs="仿宋"/>
                <w:kern w:val="0"/>
                <w:sz w:val="24"/>
                <w:szCs w:val="24"/>
              </w:rPr>
              <w:t xml:space="preserve">5 </w:t>
            </w:r>
            <w:r>
              <w:rPr>
                <w:rFonts w:hint="eastAsia" w:ascii="宋体" w:hAnsi="宋体" w:cs="仿宋"/>
                <w:kern w:val="0"/>
                <w:sz w:val="24"/>
                <w:szCs w:val="24"/>
              </w:rPr>
              <w:t>分，省级荣誉得</w:t>
            </w:r>
            <w:r>
              <w:rPr>
                <w:rFonts w:ascii="宋体" w:hAnsi="宋体" w:cs="仿宋"/>
                <w:kern w:val="0"/>
                <w:sz w:val="24"/>
                <w:szCs w:val="24"/>
              </w:rPr>
              <w:t xml:space="preserve">3 </w:t>
            </w:r>
            <w:r>
              <w:rPr>
                <w:rFonts w:hint="eastAsia" w:ascii="宋体" w:hAnsi="宋体" w:cs="仿宋"/>
                <w:kern w:val="0"/>
                <w:sz w:val="24"/>
                <w:szCs w:val="24"/>
              </w:rPr>
              <w:t>分。（企业自主举证，专家评议）。</w:t>
            </w:r>
          </w:p>
        </w:tc>
        <w:tc>
          <w:tcPr>
            <w:tcW w:w="1025" w:type="dxa"/>
            <w:vAlign w:val="center"/>
          </w:tcPr>
          <w:p>
            <w:pPr>
              <w:spacing w:line="360" w:lineRule="auto"/>
              <w:ind w:right="280"/>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Merge w:val="continue"/>
            <w:vAlign w:val="center"/>
          </w:tcPr>
          <w:p>
            <w:pPr>
              <w:spacing w:line="360" w:lineRule="auto"/>
              <w:ind w:right="280"/>
              <w:rPr>
                <w:rFonts w:ascii="宋体" w:hAnsi="宋体"/>
                <w:kern w:val="0"/>
                <w:sz w:val="24"/>
                <w:szCs w:val="24"/>
              </w:rPr>
            </w:pPr>
          </w:p>
        </w:tc>
        <w:tc>
          <w:tcPr>
            <w:tcW w:w="992" w:type="dxa"/>
            <w:vMerge w:val="continue"/>
            <w:vAlign w:val="center"/>
          </w:tcPr>
          <w:p>
            <w:pPr>
              <w:spacing w:line="360" w:lineRule="auto"/>
              <w:ind w:right="280"/>
              <w:jc w:val="center"/>
              <w:rPr>
                <w:rFonts w:ascii="宋体" w:hAnsi="宋体"/>
                <w:kern w:val="0"/>
                <w:sz w:val="24"/>
                <w:szCs w:val="24"/>
              </w:rPr>
            </w:pPr>
          </w:p>
        </w:tc>
        <w:tc>
          <w:tcPr>
            <w:tcW w:w="7938" w:type="dxa"/>
            <w:vAlign w:val="center"/>
          </w:tcPr>
          <w:p>
            <w:pPr>
              <w:spacing w:line="440" w:lineRule="exact"/>
              <w:ind w:right="280"/>
              <w:rPr>
                <w:rFonts w:ascii="宋体" w:hAnsi="宋体"/>
                <w:kern w:val="0"/>
                <w:sz w:val="24"/>
                <w:szCs w:val="24"/>
              </w:rPr>
            </w:pPr>
            <w:r>
              <w:rPr>
                <w:rFonts w:hint="eastAsia" w:ascii="宋体" w:hAnsi="宋体" w:cs="仿宋"/>
                <w:kern w:val="0"/>
                <w:sz w:val="24"/>
                <w:szCs w:val="24"/>
              </w:rPr>
              <w:t>4</w:t>
            </w:r>
            <w:r>
              <w:rPr>
                <w:rFonts w:ascii="宋体" w:hAnsi="宋体" w:cs="仿宋"/>
                <w:kern w:val="0"/>
                <w:sz w:val="24"/>
                <w:szCs w:val="24"/>
              </w:rPr>
              <w:t>.</w:t>
            </w:r>
            <w:r>
              <w:rPr>
                <w:rFonts w:hint="eastAsia" w:ascii="宋体" w:hAnsi="宋体" w:cs="仿宋"/>
                <w:kern w:val="0"/>
                <w:sz w:val="24"/>
                <w:szCs w:val="24"/>
              </w:rPr>
              <w:t>是否取得质量管理体系认证：取得，得</w:t>
            </w:r>
            <w:r>
              <w:rPr>
                <w:rFonts w:ascii="宋体" w:hAnsi="宋体" w:cs="仿宋"/>
                <w:kern w:val="0"/>
                <w:sz w:val="24"/>
                <w:szCs w:val="24"/>
              </w:rPr>
              <w:t xml:space="preserve">3 </w:t>
            </w:r>
            <w:r>
              <w:rPr>
                <w:rFonts w:hint="eastAsia" w:ascii="宋体" w:hAnsi="宋体" w:cs="仿宋"/>
                <w:kern w:val="0"/>
                <w:sz w:val="24"/>
                <w:szCs w:val="24"/>
              </w:rPr>
              <w:t>分；未取得，不得分。</w:t>
            </w:r>
          </w:p>
        </w:tc>
        <w:tc>
          <w:tcPr>
            <w:tcW w:w="1025" w:type="dxa"/>
            <w:vAlign w:val="center"/>
          </w:tcPr>
          <w:p>
            <w:pPr>
              <w:spacing w:line="360" w:lineRule="auto"/>
              <w:ind w:right="280"/>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autoSpaceDE w:val="0"/>
              <w:autoSpaceDN w:val="0"/>
              <w:adjustRightInd w:val="0"/>
              <w:spacing w:line="360" w:lineRule="auto"/>
              <w:rPr>
                <w:rFonts w:ascii="宋体" w:hAnsi="宋体" w:cs="仿宋"/>
                <w:kern w:val="0"/>
                <w:sz w:val="24"/>
                <w:szCs w:val="24"/>
              </w:rPr>
            </w:pPr>
            <w:r>
              <w:rPr>
                <w:rFonts w:hint="eastAsia" w:ascii="宋体" w:hAnsi="宋体" w:cs="仿宋"/>
                <w:kern w:val="0"/>
                <w:sz w:val="24"/>
                <w:szCs w:val="24"/>
              </w:rPr>
              <w:t>二、大赛合作经历</w:t>
            </w:r>
          </w:p>
          <w:p>
            <w:pPr>
              <w:autoSpaceDE w:val="0"/>
              <w:autoSpaceDN w:val="0"/>
              <w:adjustRightInd w:val="0"/>
              <w:spacing w:line="360" w:lineRule="auto"/>
              <w:rPr>
                <w:rFonts w:ascii="宋体" w:hAnsi="宋体"/>
                <w:kern w:val="0"/>
                <w:sz w:val="24"/>
                <w:szCs w:val="24"/>
              </w:rPr>
            </w:pPr>
            <w:r>
              <w:rPr>
                <w:rFonts w:hint="eastAsia" w:ascii="宋体" w:hAnsi="宋体" w:cs="仿宋"/>
                <w:kern w:val="0"/>
                <w:sz w:val="24"/>
                <w:szCs w:val="24"/>
              </w:rPr>
              <w:t>主要从企业参与职业院校技能竞赛（国赛、省赛或行业赛等）的合作经历方面评价。</w:t>
            </w:r>
          </w:p>
        </w:tc>
        <w:tc>
          <w:tcPr>
            <w:tcW w:w="992" w:type="dxa"/>
            <w:vAlign w:val="center"/>
          </w:tcPr>
          <w:p>
            <w:pPr>
              <w:spacing w:line="360" w:lineRule="auto"/>
              <w:ind w:right="280"/>
              <w:jc w:val="center"/>
              <w:rPr>
                <w:rFonts w:ascii="宋体" w:hAnsi="宋体"/>
                <w:kern w:val="0"/>
                <w:sz w:val="24"/>
                <w:szCs w:val="24"/>
              </w:rPr>
            </w:pPr>
            <w:r>
              <w:rPr>
                <w:rFonts w:hint="eastAsia" w:ascii="宋体" w:hAnsi="宋体"/>
                <w:kern w:val="0"/>
                <w:sz w:val="24"/>
                <w:szCs w:val="24"/>
              </w:rPr>
              <w:t>5</w:t>
            </w:r>
          </w:p>
        </w:tc>
        <w:tc>
          <w:tcPr>
            <w:tcW w:w="7938" w:type="dxa"/>
            <w:vAlign w:val="center"/>
          </w:tcPr>
          <w:p>
            <w:pPr>
              <w:autoSpaceDE w:val="0"/>
              <w:autoSpaceDN w:val="0"/>
              <w:adjustRightInd w:val="0"/>
              <w:spacing w:line="440" w:lineRule="exact"/>
              <w:rPr>
                <w:rFonts w:ascii="宋体" w:hAnsi="宋体"/>
                <w:kern w:val="0"/>
                <w:sz w:val="24"/>
                <w:szCs w:val="24"/>
              </w:rPr>
            </w:pPr>
            <w:r>
              <w:rPr>
                <w:rFonts w:hint="eastAsia" w:ascii="宋体" w:hAnsi="宋体" w:cs="仿宋"/>
                <w:kern w:val="0"/>
                <w:sz w:val="24"/>
                <w:szCs w:val="24"/>
              </w:rPr>
              <w:t>有参与国赛合作的经历，设备技术稳定且评价良好，得</w:t>
            </w:r>
            <w:r>
              <w:rPr>
                <w:rFonts w:ascii="宋体" w:hAnsi="宋体" w:cs="仿宋"/>
                <w:kern w:val="0"/>
                <w:sz w:val="24"/>
                <w:szCs w:val="24"/>
              </w:rPr>
              <w:t xml:space="preserve">5 </w:t>
            </w:r>
            <w:r>
              <w:rPr>
                <w:rFonts w:hint="eastAsia" w:ascii="宋体" w:hAnsi="宋体" w:cs="仿宋"/>
                <w:kern w:val="0"/>
                <w:sz w:val="24"/>
                <w:szCs w:val="24"/>
              </w:rPr>
              <w:t>分；有参与省赛和行业赛经历，设备技术稳定且评价良好，得</w:t>
            </w:r>
            <w:r>
              <w:rPr>
                <w:rFonts w:ascii="宋体" w:hAnsi="宋体" w:cs="仿宋"/>
                <w:kern w:val="0"/>
                <w:sz w:val="24"/>
                <w:szCs w:val="24"/>
              </w:rPr>
              <w:t xml:space="preserve">3 </w:t>
            </w:r>
            <w:r>
              <w:rPr>
                <w:rFonts w:hint="eastAsia" w:ascii="宋体" w:hAnsi="宋体" w:cs="仿宋"/>
                <w:kern w:val="0"/>
                <w:sz w:val="24"/>
                <w:szCs w:val="24"/>
              </w:rPr>
              <w:t>分；其他合作经历等，得</w:t>
            </w:r>
            <w:r>
              <w:rPr>
                <w:rFonts w:ascii="宋体" w:hAnsi="宋体" w:cs="仿宋"/>
                <w:kern w:val="0"/>
                <w:sz w:val="24"/>
                <w:szCs w:val="24"/>
              </w:rPr>
              <w:t xml:space="preserve">1 </w:t>
            </w:r>
            <w:r>
              <w:rPr>
                <w:rFonts w:hint="eastAsia" w:ascii="宋体" w:hAnsi="宋体" w:cs="仿宋"/>
                <w:kern w:val="0"/>
                <w:sz w:val="24"/>
                <w:szCs w:val="24"/>
              </w:rPr>
              <w:t>分。</w:t>
            </w:r>
          </w:p>
        </w:tc>
        <w:tc>
          <w:tcPr>
            <w:tcW w:w="1025" w:type="dxa"/>
            <w:vAlign w:val="center"/>
          </w:tcPr>
          <w:p>
            <w:pPr>
              <w:spacing w:line="360" w:lineRule="auto"/>
              <w:ind w:right="280"/>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Merge w:val="restart"/>
            <w:vAlign w:val="center"/>
          </w:tcPr>
          <w:p>
            <w:pPr>
              <w:autoSpaceDE w:val="0"/>
              <w:autoSpaceDN w:val="0"/>
              <w:adjustRightInd w:val="0"/>
              <w:spacing w:line="360" w:lineRule="auto"/>
              <w:rPr>
                <w:rFonts w:ascii="宋体" w:hAnsi="宋体" w:cs="仿宋"/>
                <w:kern w:val="0"/>
                <w:sz w:val="24"/>
                <w:szCs w:val="24"/>
              </w:rPr>
            </w:pPr>
            <w:r>
              <w:rPr>
                <w:rFonts w:hint="eastAsia" w:ascii="宋体" w:hAnsi="宋体" w:cs="仿宋"/>
                <w:kern w:val="0"/>
                <w:sz w:val="24"/>
                <w:szCs w:val="24"/>
              </w:rPr>
              <w:t>三、校企合作情况</w:t>
            </w:r>
          </w:p>
          <w:p>
            <w:pPr>
              <w:autoSpaceDE w:val="0"/>
              <w:autoSpaceDN w:val="0"/>
              <w:adjustRightInd w:val="0"/>
              <w:spacing w:line="360" w:lineRule="auto"/>
              <w:rPr>
                <w:rFonts w:ascii="宋体" w:hAnsi="宋体" w:cs="仿宋"/>
                <w:kern w:val="0"/>
                <w:sz w:val="24"/>
                <w:szCs w:val="24"/>
              </w:rPr>
            </w:pPr>
            <w:r>
              <w:rPr>
                <w:rFonts w:hint="eastAsia" w:ascii="宋体" w:hAnsi="宋体" w:cs="仿宋"/>
                <w:kern w:val="0"/>
                <w:sz w:val="24"/>
                <w:szCs w:val="24"/>
              </w:rPr>
              <w:t>主要从企业的校企合作基础是否</w:t>
            </w:r>
          </w:p>
          <w:p>
            <w:pPr>
              <w:autoSpaceDE w:val="0"/>
              <w:autoSpaceDN w:val="0"/>
              <w:adjustRightInd w:val="0"/>
              <w:spacing w:line="360" w:lineRule="auto"/>
              <w:rPr>
                <w:rFonts w:ascii="宋体" w:hAnsi="宋体" w:cs="仿宋"/>
                <w:kern w:val="0"/>
                <w:sz w:val="24"/>
                <w:szCs w:val="24"/>
              </w:rPr>
            </w:pPr>
            <w:r>
              <w:rPr>
                <w:rFonts w:hint="eastAsia" w:ascii="宋体" w:hAnsi="宋体" w:cs="仿宋"/>
                <w:kern w:val="0"/>
                <w:sz w:val="24"/>
                <w:szCs w:val="24"/>
              </w:rPr>
              <w:t>扎实，合作广泛性、深入性等方面评价。合作内容包含专业课程建设、教学条件</w:t>
            </w:r>
          </w:p>
          <w:p>
            <w:pPr>
              <w:spacing w:line="360" w:lineRule="auto"/>
              <w:ind w:right="280"/>
              <w:rPr>
                <w:rFonts w:ascii="宋体" w:hAnsi="宋体"/>
                <w:kern w:val="0"/>
                <w:sz w:val="24"/>
                <w:szCs w:val="24"/>
              </w:rPr>
            </w:pPr>
            <w:r>
              <w:rPr>
                <w:rFonts w:hint="eastAsia" w:ascii="宋体" w:hAnsi="宋体" w:cs="仿宋"/>
                <w:kern w:val="0"/>
                <w:sz w:val="24"/>
                <w:szCs w:val="24"/>
              </w:rPr>
              <w:t>建设等方面。</w:t>
            </w:r>
          </w:p>
        </w:tc>
        <w:tc>
          <w:tcPr>
            <w:tcW w:w="992" w:type="dxa"/>
            <w:vMerge w:val="restart"/>
            <w:vAlign w:val="center"/>
          </w:tcPr>
          <w:p>
            <w:pPr>
              <w:spacing w:line="360" w:lineRule="auto"/>
              <w:ind w:right="280"/>
              <w:jc w:val="center"/>
              <w:rPr>
                <w:rFonts w:ascii="宋体" w:hAnsi="宋体"/>
                <w:kern w:val="0"/>
                <w:sz w:val="24"/>
                <w:szCs w:val="24"/>
              </w:rPr>
            </w:pPr>
            <w:r>
              <w:rPr>
                <w:rFonts w:hint="eastAsia" w:ascii="宋体" w:hAnsi="宋体"/>
                <w:kern w:val="0"/>
                <w:sz w:val="24"/>
                <w:szCs w:val="24"/>
              </w:rPr>
              <w:t>10</w:t>
            </w:r>
          </w:p>
        </w:tc>
        <w:tc>
          <w:tcPr>
            <w:tcW w:w="7938" w:type="dxa"/>
            <w:vAlign w:val="center"/>
          </w:tcPr>
          <w:p>
            <w:pPr>
              <w:autoSpaceDE w:val="0"/>
              <w:autoSpaceDN w:val="0"/>
              <w:adjustRightInd w:val="0"/>
              <w:spacing w:line="440" w:lineRule="exact"/>
              <w:rPr>
                <w:rFonts w:ascii="宋体" w:hAnsi="宋体"/>
                <w:kern w:val="0"/>
                <w:sz w:val="24"/>
                <w:szCs w:val="24"/>
              </w:rPr>
            </w:pPr>
            <w:r>
              <w:rPr>
                <w:rFonts w:ascii="宋体" w:hAnsi="宋体" w:cs="仿宋"/>
                <w:kern w:val="0"/>
                <w:sz w:val="24"/>
                <w:szCs w:val="24"/>
              </w:rPr>
              <w:t>1.</w:t>
            </w:r>
            <w:r>
              <w:rPr>
                <w:rFonts w:hint="eastAsia" w:ascii="宋体" w:hAnsi="宋体" w:cs="仿宋"/>
                <w:kern w:val="0"/>
                <w:sz w:val="24"/>
                <w:szCs w:val="24"/>
              </w:rPr>
              <w:t>合作院校：覆盖全省举办相关专业院校三分之二的得</w:t>
            </w:r>
            <w:r>
              <w:rPr>
                <w:rFonts w:ascii="宋体" w:hAnsi="宋体" w:cs="仿宋"/>
                <w:kern w:val="0"/>
                <w:sz w:val="24"/>
                <w:szCs w:val="24"/>
              </w:rPr>
              <w:t>4</w:t>
            </w:r>
            <w:r>
              <w:rPr>
                <w:rFonts w:hint="eastAsia" w:ascii="宋体" w:hAnsi="宋体" w:cs="仿宋"/>
                <w:kern w:val="0"/>
                <w:sz w:val="24"/>
                <w:szCs w:val="24"/>
              </w:rPr>
              <w:t>分、覆盖三分之一及以上得2分、覆盖三分之一以下得1分。</w:t>
            </w:r>
          </w:p>
        </w:tc>
        <w:tc>
          <w:tcPr>
            <w:tcW w:w="1025" w:type="dxa"/>
            <w:vAlign w:val="center"/>
          </w:tcPr>
          <w:p>
            <w:pPr>
              <w:spacing w:line="360" w:lineRule="auto"/>
              <w:ind w:right="280"/>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Merge w:val="continue"/>
            <w:vAlign w:val="center"/>
          </w:tcPr>
          <w:p>
            <w:pPr>
              <w:spacing w:line="360" w:lineRule="auto"/>
              <w:ind w:right="280"/>
              <w:rPr>
                <w:rFonts w:ascii="宋体" w:hAnsi="宋体"/>
                <w:kern w:val="0"/>
                <w:sz w:val="24"/>
                <w:szCs w:val="24"/>
              </w:rPr>
            </w:pPr>
          </w:p>
        </w:tc>
        <w:tc>
          <w:tcPr>
            <w:tcW w:w="992" w:type="dxa"/>
            <w:vMerge w:val="continue"/>
            <w:vAlign w:val="center"/>
          </w:tcPr>
          <w:p>
            <w:pPr>
              <w:spacing w:line="360" w:lineRule="auto"/>
              <w:ind w:right="280"/>
              <w:jc w:val="center"/>
              <w:rPr>
                <w:rFonts w:ascii="宋体" w:hAnsi="宋体"/>
                <w:kern w:val="0"/>
                <w:sz w:val="24"/>
                <w:szCs w:val="24"/>
              </w:rPr>
            </w:pPr>
          </w:p>
        </w:tc>
        <w:tc>
          <w:tcPr>
            <w:tcW w:w="7938" w:type="dxa"/>
            <w:vAlign w:val="center"/>
          </w:tcPr>
          <w:p>
            <w:pPr>
              <w:spacing w:line="440" w:lineRule="exact"/>
              <w:ind w:right="280"/>
              <w:rPr>
                <w:rFonts w:ascii="宋体" w:hAnsi="宋体"/>
                <w:kern w:val="0"/>
                <w:sz w:val="24"/>
                <w:szCs w:val="24"/>
              </w:rPr>
            </w:pPr>
            <w:r>
              <w:rPr>
                <w:rFonts w:ascii="宋体" w:hAnsi="宋体" w:cs="仿宋"/>
                <w:kern w:val="0"/>
                <w:sz w:val="24"/>
                <w:szCs w:val="24"/>
              </w:rPr>
              <w:t>2.</w:t>
            </w:r>
            <w:r>
              <w:rPr>
                <w:rFonts w:hint="eastAsia" w:ascii="宋体" w:hAnsi="宋体" w:cs="仿宋"/>
                <w:kern w:val="0"/>
                <w:sz w:val="24"/>
                <w:szCs w:val="24"/>
              </w:rPr>
              <w:t>合作内容：专业建设、课程建设、教学条件建设等内容丰富得2</w:t>
            </w:r>
            <w:r>
              <w:rPr>
                <w:rFonts w:ascii="宋体" w:hAnsi="宋体" w:cs="仿宋"/>
                <w:kern w:val="0"/>
                <w:sz w:val="24"/>
                <w:szCs w:val="24"/>
              </w:rPr>
              <w:t xml:space="preserve"> </w:t>
            </w:r>
            <w:r>
              <w:rPr>
                <w:rFonts w:hint="eastAsia" w:ascii="宋体" w:hAnsi="宋体" w:cs="仿宋"/>
                <w:kern w:val="0"/>
                <w:sz w:val="24"/>
                <w:szCs w:val="24"/>
              </w:rPr>
              <w:t>分，单一得0分。</w:t>
            </w:r>
          </w:p>
        </w:tc>
        <w:tc>
          <w:tcPr>
            <w:tcW w:w="1025" w:type="dxa"/>
            <w:vAlign w:val="center"/>
          </w:tcPr>
          <w:p>
            <w:pPr>
              <w:spacing w:line="360" w:lineRule="auto"/>
              <w:ind w:right="280"/>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Merge w:val="continue"/>
            <w:vAlign w:val="center"/>
          </w:tcPr>
          <w:p>
            <w:pPr>
              <w:spacing w:line="360" w:lineRule="auto"/>
              <w:ind w:right="280"/>
              <w:rPr>
                <w:rFonts w:ascii="宋体" w:hAnsi="宋体"/>
                <w:kern w:val="0"/>
                <w:sz w:val="24"/>
                <w:szCs w:val="24"/>
              </w:rPr>
            </w:pPr>
          </w:p>
        </w:tc>
        <w:tc>
          <w:tcPr>
            <w:tcW w:w="992" w:type="dxa"/>
            <w:vMerge w:val="continue"/>
            <w:vAlign w:val="center"/>
          </w:tcPr>
          <w:p>
            <w:pPr>
              <w:spacing w:line="360" w:lineRule="auto"/>
              <w:ind w:right="280"/>
              <w:jc w:val="center"/>
              <w:rPr>
                <w:rFonts w:ascii="宋体" w:hAnsi="宋体"/>
                <w:kern w:val="0"/>
                <w:sz w:val="24"/>
                <w:szCs w:val="24"/>
              </w:rPr>
            </w:pPr>
          </w:p>
        </w:tc>
        <w:tc>
          <w:tcPr>
            <w:tcW w:w="7938" w:type="dxa"/>
            <w:vAlign w:val="center"/>
          </w:tcPr>
          <w:p>
            <w:pPr>
              <w:spacing w:line="440" w:lineRule="exact"/>
              <w:ind w:right="280"/>
              <w:rPr>
                <w:rFonts w:ascii="宋体" w:hAnsi="宋体"/>
                <w:kern w:val="0"/>
                <w:sz w:val="24"/>
                <w:szCs w:val="24"/>
              </w:rPr>
            </w:pPr>
            <w:r>
              <w:rPr>
                <w:rFonts w:ascii="宋体" w:hAnsi="Times New Roman" w:cs="宋体"/>
                <w:kern w:val="0"/>
                <w:sz w:val="24"/>
                <w:szCs w:val="21"/>
              </w:rPr>
              <w:t xml:space="preserve">3. </w:t>
            </w:r>
            <w:r>
              <w:rPr>
                <w:rFonts w:hint="eastAsia" w:ascii="宋体" w:hAnsi="Times New Roman" w:cs="宋体"/>
                <w:kern w:val="0"/>
                <w:sz w:val="24"/>
                <w:szCs w:val="21"/>
              </w:rPr>
              <w:t>具有国家级、省级教师企业实践基地等服务平台得</w:t>
            </w:r>
            <w:r>
              <w:rPr>
                <w:rFonts w:ascii="宋体" w:hAnsi="Times New Roman" w:cs="宋体"/>
                <w:kern w:val="0"/>
                <w:sz w:val="24"/>
                <w:szCs w:val="21"/>
              </w:rPr>
              <w:t xml:space="preserve">2 </w:t>
            </w:r>
            <w:r>
              <w:rPr>
                <w:rFonts w:hint="eastAsia" w:ascii="宋体" w:hAnsi="Times New Roman" w:cs="宋体"/>
                <w:kern w:val="0"/>
                <w:sz w:val="24"/>
                <w:szCs w:val="21"/>
              </w:rPr>
              <w:t>分；都不满足得</w:t>
            </w:r>
            <w:r>
              <w:rPr>
                <w:rFonts w:ascii="宋体" w:hAnsi="Times New Roman" w:cs="宋体"/>
                <w:kern w:val="0"/>
                <w:sz w:val="24"/>
                <w:szCs w:val="21"/>
              </w:rPr>
              <w:t xml:space="preserve">0 </w:t>
            </w:r>
            <w:r>
              <w:rPr>
                <w:rFonts w:hint="eastAsia" w:ascii="宋体" w:hAnsi="Times New Roman" w:cs="宋体"/>
                <w:kern w:val="0"/>
                <w:sz w:val="24"/>
                <w:szCs w:val="21"/>
              </w:rPr>
              <w:t>分。</w:t>
            </w:r>
          </w:p>
        </w:tc>
        <w:tc>
          <w:tcPr>
            <w:tcW w:w="1025" w:type="dxa"/>
            <w:vAlign w:val="center"/>
          </w:tcPr>
          <w:p>
            <w:pPr>
              <w:spacing w:line="360" w:lineRule="auto"/>
              <w:ind w:right="280"/>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Merge w:val="continue"/>
            <w:vAlign w:val="center"/>
          </w:tcPr>
          <w:p>
            <w:pPr>
              <w:spacing w:line="360" w:lineRule="auto"/>
              <w:ind w:right="280"/>
              <w:rPr>
                <w:rFonts w:ascii="宋体" w:hAnsi="宋体"/>
                <w:kern w:val="0"/>
                <w:sz w:val="24"/>
                <w:szCs w:val="24"/>
              </w:rPr>
            </w:pPr>
          </w:p>
        </w:tc>
        <w:tc>
          <w:tcPr>
            <w:tcW w:w="992" w:type="dxa"/>
            <w:vMerge w:val="continue"/>
            <w:vAlign w:val="center"/>
          </w:tcPr>
          <w:p>
            <w:pPr>
              <w:spacing w:line="360" w:lineRule="auto"/>
              <w:ind w:right="280"/>
              <w:jc w:val="center"/>
              <w:rPr>
                <w:rFonts w:ascii="宋体" w:hAnsi="宋体"/>
                <w:kern w:val="0"/>
                <w:sz w:val="24"/>
                <w:szCs w:val="24"/>
              </w:rPr>
            </w:pPr>
          </w:p>
        </w:tc>
        <w:tc>
          <w:tcPr>
            <w:tcW w:w="7938" w:type="dxa"/>
            <w:vAlign w:val="center"/>
          </w:tcPr>
          <w:p>
            <w:pPr>
              <w:spacing w:line="440" w:lineRule="exact"/>
              <w:ind w:right="280"/>
              <w:rPr>
                <w:rFonts w:ascii="宋体" w:hAnsi="宋体" w:cs="仿宋"/>
                <w:kern w:val="0"/>
                <w:sz w:val="24"/>
                <w:szCs w:val="24"/>
              </w:rPr>
            </w:pPr>
            <w:r>
              <w:rPr>
                <w:rFonts w:hint="eastAsia" w:ascii="宋体" w:hAnsi="宋体" w:cs="仿宋"/>
                <w:kern w:val="0"/>
                <w:sz w:val="24"/>
                <w:szCs w:val="24"/>
              </w:rPr>
              <w:t>4</w:t>
            </w:r>
            <w:r>
              <w:rPr>
                <w:rFonts w:ascii="宋体" w:hAnsi="宋体" w:cs="仿宋"/>
                <w:kern w:val="0"/>
                <w:sz w:val="24"/>
                <w:szCs w:val="24"/>
              </w:rPr>
              <w:t>.</w:t>
            </w:r>
            <w:r>
              <w:rPr>
                <w:rFonts w:hint="eastAsia" w:ascii="宋体" w:hAnsi="宋体" w:cs="仿宋"/>
                <w:kern w:val="0"/>
                <w:sz w:val="24"/>
                <w:szCs w:val="24"/>
              </w:rPr>
              <w:t>合作成效：获得国家或省级政府部门表彰、奖励或应用推广等得2</w:t>
            </w:r>
            <w:r>
              <w:rPr>
                <w:rFonts w:ascii="宋体" w:hAnsi="宋体" w:cs="仿宋"/>
                <w:kern w:val="0"/>
                <w:sz w:val="24"/>
                <w:szCs w:val="24"/>
              </w:rPr>
              <w:t xml:space="preserve"> </w:t>
            </w:r>
            <w:r>
              <w:rPr>
                <w:rFonts w:hint="eastAsia" w:ascii="宋体" w:hAnsi="宋体" w:cs="仿宋"/>
                <w:kern w:val="0"/>
                <w:sz w:val="24"/>
                <w:szCs w:val="24"/>
              </w:rPr>
              <w:t>分</w:t>
            </w:r>
            <w:r>
              <w:rPr>
                <w:rFonts w:hint="eastAsia" w:ascii="宋体" w:hAnsi="Times New Roman" w:cs="宋体"/>
                <w:kern w:val="0"/>
                <w:sz w:val="20"/>
                <w:szCs w:val="21"/>
              </w:rPr>
              <w:t>，</w:t>
            </w:r>
            <w:r>
              <w:rPr>
                <w:rFonts w:hint="eastAsia" w:ascii="宋体" w:hAnsi="Times New Roman" w:cs="宋体"/>
                <w:kern w:val="0"/>
                <w:sz w:val="24"/>
                <w:szCs w:val="21"/>
              </w:rPr>
              <w:t>没有得</w:t>
            </w:r>
            <w:r>
              <w:rPr>
                <w:rFonts w:ascii="宋体" w:hAnsi="Times New Roman" w:cs="宋体"/>
                <w:kern w:val="0"/>
                <w:sz w:val="24"/>
                <w:szCs w:val="21"/>
              </w:rPr>
              <w:t xml:space="preserve">0 </w:t>
            </w:r>
            <w:r>
              <w:rPr>
                <w:rFonts w:hint="eastAsia" w:ascii="宋体" w:hAnsi="Times New Roman" w:cs="宋体"/>
                <w:kern w:val="0"/>
                <w:sz w:val="24"/>
                <w:szCs w:val="21"/>
              </w:rPr>
              <w:t>分。</w:t>
            </w:r>
          </w:p>
        </w:tc>
        <w:tc>
          <w:tcPr>
            <w:tcW w:w="1025" w:type="dxa"/>
            <w:vAlign w:val="center"/>
          </w:tcPr>
          <w:p>
            <w:pPr>
              <w:spacing w:line="360" w:lineRule="auto"/>
              <w:ind w:right="280"/>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Merge w:val="restart"/>
            <w:vAlign w:val="center"/>
          </w:tcPr>
          <w:p>
            <w:pPr>
              <w:autoSpaceDE w:val="0"/>
              <w:autoSpaceDN w:val="0"/>
              <w:adjustRightInd w:val="0"/>
              <w:spacing w:line="360" w:lineRule="auto"/>
              <w:rPr>
                <w:rFonts w:ascii="宋体" w:hAnsi="宋体" w:cs="仿宋"/>
                <w:kern w:val="0"/>
                <w:sz w:val="24"/>
                <w:szCs w:val="24"/>
              </w:rPr>
            </w:pPr>
            <w:r>
              <w:rPr>
                <w:rFonts w:hint="eastAsia" w:ascii="宋体" w:hAnsi="宋体" w:cs="仿宋"/>
                <w:kern w:val="0"/>
                <w:sz w:val="24"/>
                <w:szCs w:val="24"/>
              </w:rPr>
              <w:t>四、技术平台质量与赛项匹配度</w:t>
            </w:r>
          </w:p>
          <w:p>
            <w:pPr>
              <w:autoSpaceDE w:val="0"/>
              <w:autoSpaceDN w:val="0"/>
              <w:adjustRightInd w:val="0"/>
              <w:spacing w:line="360" w:lineRule="auto"/>
              <w:rPr>
                <w:rFonts w:ascii="宋体" w:hAnsi="宋体"/>
                <w:kern w:val="0"/>
                <w:sz w:val="24"/>
                <w:szCs w:val="24"/>
              </w:rPr>
            </w:pPr>
            <w:r>
              <w:rPr>
                <w:rFonts w:hint="eastAsia" w:ascii="宋体" w:hAnsi="宋体" w:cs="仿宋"/>
                <w:kern w:val="0"/>
                <w:sz w:val="24"/>
                <w:szCs w:val="24"/>
              </w:rPr>
              <w:t>主要从企业提供的技术平台与设备的技术先进性、质量稳定性，技术平台与赛项匹配情况（含组合平台中单项设备或软件的匹配情况），技术平台与设备有无自主知识产权等方面评价。</w:t>
            </w:r>
          </w:p>
        </w:tc>
        <w:tc>
          <w:tcPr>
            <w:tcW w:w="992" w:type="dxa"/>
            <w:vMerge w:val="restart"/>
            <w:vAlign w:val="center"/>
          </w:tcPr>
          <w:p>
            <w:pPr>
              <w:spacing w:line="360" w:lineRule="auto"/>
              <w:ind w:right="280"/>
              <w:jc w:val="center"/>
              <w:rPr>
                <w:rFonts w:ascii="宋体" w:hAnsi="宋体"/>
                <w:kern w:val="0"/>
                <w:sz w:val="24"/>
                <w:szCs w:val="24"/>
              </w:rPr>
            </w:pPr>
            <w:r>
              <w:rPr>
                <w:rFonts w:hint="eastAsia" w:ascii="宋体" w:hAnsi="宋体"/>
                <w:kern w:val="0"/>
                <w:sz w:val="24"/>
                <w:szCs w:val="24"/>
              </w:rPr>
              <w:t>15</w:t>
            </w:r>
          </w:p>
        </w:tc>
        <w:tc>
          <w:tcPr>
            <w:tcW w:w="7938" w:type="dxa"/>
            <w:vAlign w:val="center"/>
          </w:tcPr>
          <w:p>
            <w:pPr>
              <w:autoSpaceDE w:val="0"/>
              <w:autoSpaceDN w:val="0"/>
              <w:adjustRightInd w:val="0"/>
              <w:spacing w:line="440" w:lineRule="exact"/>
              <w:jc w:val="left"/>
              <w:rPr>
                <w:rFonts w:ascii="宋体" w:hAnsi="宋体"/>
                <w:kern w:val="0"/>
                <w:sz w:val="24"/>
                <w:szCs w:val="24"/>
              </w:rPr>
            </w:pPr>
            <w:r>
              <w:rPr>
                <w:rFonts w:ascii="宋体" w:hAnsi="宋体" w:cs="仿宋"/>
                <w:kern w:val="0"/>
                <w:sz w:val="24"/>
                <w:szCs w:val="24"/>
              </w:rPr>
              <w:t>1.</w:t>
            </w:r>
            <w:r>
              <w:rPr>
                <w:rFonts w:hint="eastAsia" w:ascii="宋体" w:hAnsi="宋体" w:cs="仿宋"/>
                <w:kern w:val="0"/>
                <w:sz w:val="24"/>
                <w:szCs w:val="24"/>
              </w:rPr>
              <w:t>技术平台的匹配度：在评判所提供赛项技术平台先进性和稳定性的基础上，重点评判技术平台与赛项匹配度。匹配度高，得3</w:t>
            </w:r>
            <w:r>
              <w:rPr>
                <w:rFonts w:ascii="宋体" w:hAnsi="宋体" w:cs="仿宋"/>
                <w:kern w:val="0"/>
                <w:sz w:val="24"/>
                <w:szCs w:val="24"/>
              </w:rPr>
              <w:t>-</w:t>
            </w:r>
            <w:r>
              <w:rPr>
                <w:rFonts w:hint="eastAsia" w:ascii="宋体" w:hAnsi="宋体" w:cs="仿宋"/>
                <w:kern w:val="0"/>
                <w:sz w:val="24"/>
                <w:szCs w:val="24"/>
              </w:rPr>
              <w:t>5</w:t>
            </w:r>
            <w:r>
              <w:rPr>
                <w:rFonts w:ascii="宋体" w:hAnsi="宋体" w:cs="仿宋"/>
                <w:kern w:val="0"/>
                <w:sz w:val="24"/>
                <w:szCs w:val="24"/>
              </w:rPr>
              <w:t xml:space="preserve"> </w:t>
            </w:r>
            <w:r>
              <w:rPr>
                <w:rFonts w:hint="eastAsia" w:ascii="宋体" w:hAnsi="宋体" w:cs="仿宋"/>
                <w:kern w:val="0"/>
                <w:sz w:val="24"/>
                <w:szCs w:val="24"/>
              </w:rPr>
              <w:t>分；基本匹配，得1</w:t>
            </w:r>
            <w:r>
              <w:rPr>
                <w:rFonts w:ascii="宋体" w:hAnsi="宋体" w:cs="仿宋"/>
                <w:kern w:val="0"/>
                <w:sz w:val="24"/>
                <w:szCs w:val="24"/>
              </w:rPr>
              <w:t>-</w:t>
            </w:r>
            <w:r>
              <w:rPr>
                <w:rFonts w:hint="eastAsia" w:ascii="宋体" w:hAnsi="宋体" w:cs="仿宋"/>
                <w:kern w:val="0"/>
                <w:sz w:val="24"/>
                <w:szCs w:val="24"/>
              </w:rPr>
              <w:t>2</w:t>
            </w:r>
            <w:r>
              <w:rPr>
                <w:rFonts w:ascii="宋体" w:hAnsi="宋体" w:cs="仿宋"/>
                <w:kern w:val="0"/>
                <w:sz w:val="24"/>
                <w:szCs w:val="24"/>
              </w:rPr>
              <w:t xml:space="preserve"> </w:t>
            </w:r>
            <w:r>
              <w:rPr>
                <w:rFonts w:hint="eastAsia" w:ascii="宋体" w:hAnsi="宋体" w:cs="仿宋"/>
                <w:kern w:val="0"/>
                <w:sz w:val="24"/>
                <w:szCs w:val="24"/>
              </w:rPr>
              <w:t>分；若技术平台与规程要求不匹配，则该处写“否决”，不填具体分数。</w:t>
            </w:r>
          </w:p>
        </w:tc>
        <w:tc>
          <w:tcPr>
            <w:tcW w:w="1025" w:type="dxa"/>
            <w:vAlign w:val="center"/>
          </w:tcPr>
          <w:p>
            <w:pPr>
              <w:spacing w:line="360" w:lineRule="auto"/>
              <w:ind w:right="280"/>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Merge w:val="continue"/>
            <w:vAlign w:val="center"/>
          </w:tcPr>
          <w:p>
            <w:pPr>
              <w:spacing w:line="360" w:lineRule="auto"/>
              <w:ind w:right="280"/>
              <w:rPr>
                <w:rFonts w:ascii="宋体" w:hAnsi="宋体"/>
                <w:kern w:val="0"/>
                <w:sz w:val="24"/>
                <w:szCs w:val="24"/>
              </w:rPr>
            </w:pPr>
          </w:p>
        </w:tc>
        <w:tc>
          <w:tcPr>
            <w:tcW w:w="992" w:type="dxa"/>
            <w:vMerge w:val="continue"/>
            <w:vAlign w:val="center"/>
          </w:tcPr>
          <w:p>
            <w:pPr>
              <w:spacing w:line="360" w:lineRule="auto"/>
              <w:ind w:right="280"/>
              <w:jc w:val="center"/>
              <w:rPr>
                <w:rFonts w:ascii="宋体" w:hAnsi="宋体"/>
                <w:kern w:val="0"/>
                <w:sz w:val="24"/>
                <w:szCs w:val="24"/>
              </w:rPr>
            </w:pPr>
          </w:p>
        </w:tc>
        <w:tc>
          <w:tcPr>
            <w:tcW w:w="7938" w:type="dxa"/>
            <w:vAlign w:val="center"/>
          </w:tcPr>
          <w:p>
            <w:pPr>
              <w:autoSpaceDE w:val="0"/>
              <w:autoSpaceDN w:val="0"/>
              <w:adjustRightInd w:val="0"/>
              <w:spacing w:line="440" w:lineRule="exact"/>
              <w:jc w:val="left"/>
              <w:rPr>
                <w:rFonts w:ascii="宋体" w:hAnsi="宋体"/>
                <w:kern w:val="0"/>
                <w:sz w:val="24"/>
                <w:szCs w:val="24"/>
              </w:rPr>
            </w:pPr>
            <w:r>
              <w:rPr>
                <w:rFonts w:ascii="宋体" w:hAnsi="Times New Roman" w:cs="宋体"/>
                <w:kern w:val="0"/>
                <w:sz w:val="24"/>
                <w:szCs w:val="21"/>
              </w:rPr>
              <w:t>2.</w:t>
            </w:r>
            <w:r>
              <w:rPr>
                <w:rFonts w:hint="eastAsia" w:ascii="宋体" w:hAnsi="Times New Roman" w:cs="宋体"/>
                <w:kern w:val="0"/>
                <w:sz w:val="24"/>
                <w:szCs w:val="21"/>
              </w:rPr>
              <w:t>提供的技术平台的先进性与稳定性：在明确提供赛项技术平台（硬或软，全部或部分）的基础上，评判该技术平台与设备的先进性、稳定性，既先进又稳定</w:t>
            </w:r>
            <w:r>
              <w:rPr>
                <w:rFonts w:ascii="宋体" w:hAnsi="Times New Roman" w:cs="宋体"/>
                <w:kern w:val="0"/>
                <w:sz w:val="24"/>
                <w:szCs w:val="21"/>
              </w:rPr>
              <w:t>(</w:t>
            </w:r>
            <w:r>
              <w:rPr>
                <w:rFonts w:hint="eastAsia" w:ascii="宋体" w:hAnsi="Times New Roman" w:cs="宋体"/>
                <w:kern w:val="0"/>
                <w:sz w:val="24"/>
                <w:szCs w:val="21"/>
              </w:rPr>
              <w:t>有相关行业部门鉴定书</w:t>
            </w:r>
            <w:r>
              <w:rPr>
                <w:rFonts w:ascii="宋体" w:hAnsi="Times New Roman" w:cs="宋体"/>
                <w:kern w:val="0"/>
                <w:sz w:val="24"/>
                <w:szCs w:val="21"/>
              </w:rPr>
              <w:t>)</w:t>
            </w:r>
            <w:r>
              <w:rPr>
                <w:rFonts w:hint="eastAsia" w:ascii="宋体" w:hAnsi="Times New Roman" w:cs="宋体"/>
                <w:kern w:val="0"/>
                <w:sz w:val="24"/>
                <w:szCs w:val="21"/>
              </w:rPr>
              <w:t>得</w:t>
            </w:r>
            <w:r>
              <w:rPr>
                <w:rFonts w:ascii="宋体" w:hAnsi="Times New Roman" w:cs="宋体"/>
                <w:kern w:val="0"/>
                <w:sz w:val="24"/>
                <w:szCs w:val="21"/>
              </w:rPr>
              <w:t xml:space="preserve">5 </w:t>
            </w:r>
            <w:r>
              <w:rPr>
                <w:rFonts w:hint="eastAsia" w:ascii="宋体" w:hAnsi="Times New Roman" w:cs="宋体"/>
                <w:kern w:val="0"/>
                <w:sz w:val="24"/>
                <w:szCs w:val="21"/>
              </w:rPr>
              <w:t>分；没有相关鉴定书不得分。</w:t>
            </w:r>
          </w:p>
        </w:tc>
        <w:tc>
          <w:tcPr>
            <w:tcW w:w="1025" w:type="dxa"/>
            <w:vAlign w:val="center"/>
          </w:tcPr>
          <w:p>
            <w:pPr>
              <w:spacing w:line="360" w:lineRule="auto"/>
              <w:ind w:right="280"/>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Merge w:val="continue"/>
            <w:vAlign w:val="center"/>
          </w:tcPr>
          <w:p>
            <w:pPr>
              <w:spacing w:line="360" w:lineRule="auto"/>
              <w:ind w:right="280"/>
              <w:rPr>
                <w:rFonts w:ascii="宋体" w:hAnsi="宋体"/>
                <w:kern w:val="0"/>
                <w:sz w:val="24"/>
                <w:szCs w:val="24"/>
              </w:rPr>
            </w:pPr>
          </w:p>
        </w:tc>
        <w:tc>
          <w:tcPr>
            <w:tcW w:w="992" w:type="dxa"/>
            <w:vMerge w:val="continue"/>
            <w:vAlign w:val="center"/>
          </w:tcPr>
          <w:p>
            <w:pPr>
              <w:spacing w:line="360" w:lineRule="auto"/>
              <w:ind w:right="280"/>
              <w:jc w:val="center"/>
              <w:rPr>
                <w:rFonts w:ascii="宋体" w:hAnsi="宋体"/>
                <w:kern w:val="0"/>
                <w:sz w:val="24"/>
                <w:szCs w:val="24"/>
              </w:rPr>
            </w:pPr>
          </w:p>
        </w:tc>
        <w:tc>
          <w:tcPr>
            <w:tcW w:w="7938" w:type="dxa"/>
            <w:vAlign w:val="center"/>
          </w:tcPr>
          <w:p>
            <w:pPr>
              <w:autoSpaceDE w:val="0"/>
              <w:autoSpaceDN w:val="0"/>
              <w:adjustRightInd w:val="0"/>
              <w:spacing w:line="440" w:lineRule="exact"/>
              <w:jc w:val="left"/>
              <w:rPr>
                <w:rFonts w:ascii="宋体" w:hAnsi="宋体"/>
                <w:kern w:val="0"/>
                <w:sz w:val="24"/>
                <w:szCs w:val="24"/>
              </w:rPr>
            </w:pPr>
            <w:r>
              <w:rPr>
                <w:rFonts w:ascii="宋体" w:hAnsi="Times New Roman" w:cs="宋体"/>
                <w:kern w:val="0"/>
                <w:sz w:val="24"/>
                <w:szCs w:val="21"/>
              </w:rPr>
              <w:t>3.</w:t>
            </w:r>
            <w:r>
              <w:rPr>
                <w:rFonts w:hint="eastAsia" w:ascii="宋体" w:hAnsi="Times New Roman" w:cs="宋体"/>
                <w:kern w:val="0"/>
                <w:sz w:val="24"/>
                <w:szCs w:val="21"/>
              </w:rPr>
              <w:t>技术平台与设备的自主权：为赛项提供的技术平台与设备知识产权清晰，具有自主知识产权或依法享有知识产权的独占权与授予权得</w:t>
            </w:r>
            <w:r>
              <w:rPr>
                <w:rFonts w:ascii="宋体" w:hAnsi="Times New Roman" w:cs="宋体"/>
                <w:kern w:val="0"/>
                <w:sz w:val="24"/>
                <w:szCs w:val="21"/>
              </w:rPr>
              <w:t xml:space="preserve">5 </w:t>
            </w:r>
            <w:r>
              <w:rPr>
                <w:rFonts w:hint="eastAsia" w:ascii="宋体" w:hAnsi="Times New Roman" w:cs="宋体"/>
                <w:kern w:val="0"/>
                <w:sz w:val="24"/>
                <w:szCs w:val="21"/>
              </w:rPr>
              <w:t>分，没有的不得分。如专家认为存在被诉侵权或专家认为有风险或纠纷情况的则该处写“否决”，不填具体分数。</w:t>
            </w:r>
          </w:p>
        </w:tc>
        <w:tc>
          <w:tcPr>
            <w:tcW w:w="1025" w:type="dxa"/>
            <w:vAlign w:val="center"/>
          </w:tcPr>
          <w:p>
            <w:pPr>
              <w:spacing w:line="360" w:lineRule="auto"/>
              <w:ind w:right="280"/>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Merge w:val="restart"/>
            <w:vAlign w:val="center"/>
          </w:tcPr>
          <w:p>
            <w:pPr>
              <w:autoSpaceDE w:val="0"/>
              <w:autoSpaceDN w:val="0"/>
              <w:adjustRightInd w:val="0"/>
              <w:spacing w:line="360" w:lineRule="auto"/>
              <w:rPr>
                <w:rFonts w:ascii="宋体" w:hAnsi="宋体" w:cs="仿宋"/>
                <w:kern w:val="0"/>
                <w:sz w:val="24"/>
                <w:szCs w:val="24"/>
              </w:rPr>
            </w:pPr>
            <w:r>
              <w:rPr>
                <w:rFonts w:hint="eastAsia" w:ascii="宋体" w:hAnsi="宋体" w:cs="仿宋"/>
                <w:kern w:val="0"/>
                <w:sz w:val="24"/>
                <w:szCs w:val="24"/>
              </w:rPr>
              <w:t>五、技术平台普及程度</w:t>
            </w:r>
          </w:p>
          <w:p>
            <w:pPr>
              <w:autoSpaceDE w:val="0"/>
              <w:autoSpaceDN w:val="0"/>
              <w:adjustRightInd w:val="0"/>
              <w:spacing w:line="360" w:lineRule="auto"/>
              <w:rPr>
                <w:rFonts w:ascii="宋体" w:hAnsi="宋体" w:cs="仿宋"/>
                <w:kern w:val="0"/>
                <w:sz w:val="24"/>
                <w:szCs w:val="24"/>
              </w:rPr>
            </w:pPr>
            <w:r>
              <w:rPr>
                <w:rFonts w:hint="eastAsia" w:ascii="宋体" w:hAnsi="宋体" w:cs="仿宋"/>
                <w:kern w:val="0"/>
                <w:sz w:val="24"/>
                <w:szCs w:val="24"/>
              </w:rPr>
              <w:t>主要从企业提供的技术平台与设</w:t>
            </w:r>
          </w:p>
          <w:p>
            <w:pPr>
              <w:autoSpaceDE w:val="0"/>
              <w:autoSpaceDN w:val="0"/>
              <w:adjustRightInd w:val="0"/>
              <w:spacing w:line="360" w:lineRule="auto"/>
              <w:rPr>
                <w:rFonts w:ascii="宋体" w:hAnsi="宋体" w:cs="仿宋"/>
                <w:kern w:val="0"/>
                <w:sz w:val="24"/>
                <w:szCs w:val="24"/>
              </w:rPr>
            </w:pPr>
            <w:r>
              <w:rPr>
                <w:rFonts w:hint="eastAsia" w:ascii="宋体" w:hAnsi="宋体" w:cs="仿宋"/>
                <w:kern w:val="0"/>
                <w:sz w:val="24"/>
                <w:szCs w:val="24"/>
              </w:rPr>
              <w:t>备在职业院校（或行业）中普及度、使</w:t>
            </w:r>
          </w:p>
          <w:p>
            <w:pPr>
              <w:spacing w:line="360" w:lineRule="auto"/>
              <w:ind w:right="280"/>
              <w:rPr>
                <w:rFonts w:ascii="宋体" w:hAnsi="宋体"/>
                <w:kern w:val="0"/>
                <w:sz w:val="24"/>
                <w:szCs w:val="24"/>
              </w:rPr>
            </w:pPr>
            <w:r>
              <w:rPr>
                <w:rFonts w:hint="eastAsia" w:ascii="宋体" w:hAnsi="宋体" w:cs="仿宋"/>
                <w:kern w:val="0"/>
                <w:sz w:val="24"/>
                <w:szCs w:val="24"/>
              </w:rPr>
              <w:t>用情况及供货保障情况评价。</w:t>
            </w:r>
          </w:p>
        </w:tc>
        <w:tc>
          <w:tcPr>
            <w:tcW w:w="992" w:type="dxa"/>
            <w:vMerge w:val="restart"/>
            <w:vAlign w:val="center"/>
          </w:tcPr>
          <w:p>
            <w:pPr>
              <w:spacing w:line="360" w:lineRule="auto"/>
              <w:ind w:right="280"/>
              <w:jc w:val="center"/>
              <w:rPr>
                <w:rFonts w:ascii="宋体" w:hAnsi="宋体"/>
                <w:kern w:val="0"/>
                <w:sz w:val="24"/>
                <w:szCs w:val="24"/>
              </w:rPr>
            </w:pPr>
            <w:r>
              <w:rPr>
                <w:rFonts w:hint="eastAsia" w:ascii="宋体" w:hAnsi="宋体"/>
                <w:kern w:val="0"/>
                <w:sz w:val="24"/>
                <w:szCs w:val="24"/>
              </w:rPr>
              <w:t>10</w:t>
            </w:r>
          </w:p>
        </w:tc>
        <w:tc>
          <w:tcPr>
            <w:tcW w:w="7938" w:type="dxa"/>
            <w:vAlign w:val="center"/>
          </w:tcPr>
          <w:p>
            <w:pPr>
              <w:autoSpaceDE w:val="0"/>
              <w:autoSpaceDN w:val="0"/>
              <w:adjustRightInd w:val="0"/>
              <w:spacing w:line="440" w:lineRule="exact"/>
              <w:jc w:val="left"/>
              <w:rPr>
                <w:rFonts w:ascii="宋体" w:hAnsi="宋体"/>
                <w:kern w:val="0"/>
                <w:sz w:val="24"/>
                <w:szCs w:val="24"/>
              </w:rPr>
            </w:pPr>
            <w:r>
              <w:rPr>
                <w:rFonts w:ascii="宋体" w:hAnsi="Times New Roman" w:cs="宋体"/>
                <w:kern w:val="0"/>
                <w:sz w:val="24"/>
                <w:szCs w:val="21"/>
              </w:rPr>
              <w:t>1.</w:t>
            </w:r>
            <w:r>
              <w:rPr>
                <w:rFonts w:hint="eastAsia" w:ascii="宋体" w:hAnsi="Times New Roman" w:cs="宋体"/>
                <w:kern w:val="0"/>
                <w:sz w:val="24"/>
                <w:szCs w:val="21"/>
              </w:rPr>
              <w:t>技术平台与设备的普及度：覆盖全省开设本赛项相关专业三分之二以上学校或市场占有率广泛，得</w:t>
            </w:r>
            <w:r>
              <w:rPr>
                <w:rFonts w:ascii="宋体" w:hAnsi="Times New Roman" w:cs="宋体"/>
                <w:kern w:val="0"/>
                <w:sz w:val="24"/>
                <w:szCs w:val="21"/>
              </w:rPr>
              <w:t xml:space="preserve">5 </w:t>
            </w:r>
            <w:r>
              <w:rPr>
                <w:rFonts w:hint="eastAsia" w:ascii="宋体" w:hAnsi="Times New Roman" w:cs="宋体"/>
                <w:kern w:val="0"/>
                <w:sz w:val="24"/>
                <w:szCs w:val="21"/>
              </w:rPr>
              <w:t>分；覆盖三分之一或市场占有率中等，得</w:t>
            </w:r>
            <w:r>
              <w:rPr>
                <w:rFonts w:ascii="宋体" w:hAnsi="Times New Roman" w:cs="宋体"/>
                <w:kern w:val="0"/>
                <w:sz w:val="24"/>
                <w:szCs w:val="21"/>
              </w:rPr>
              <w:t xml:space="preserve">3 </w:t>
            </w:r>
            <w:r>
              <w:rPr>
                <w:rFonts w:hint="eastAsia" w:ascii="宋体" w:hAnsi="Times New Roman" w:cs="宋体"/>
                <w:kern w:val="0"/>
                <w:sz w:val="24"/>
                <w:szCs w:val="21"/>
              </w:rPr>
              <w:t>分；市场占有率较低的，得</w:t>
            </w:r>
            <w:r>
              <w:rPr>
                <w:rFonts w:ascii="宋体" w:hAnsi="Times New Roman" w:cs="宋体"/>
                <w:kern w:val="0"/>
                <w:sz w:val="24"/>
                <w:szCs w:val="21"/>
              </w:rPr>
              <w:t xml:space="preserve">1 </w:t>
            </w:r>
            <w:r>
              <w:rPr>
                <w:rFonts w:hint="eastAsia" w:ascii="宋体" w:hAnsi="Times New Roman" w:cs="宋体"/>
                <w:kern w:val="0"/>
                <w:sz w:val="24"/>
                <w:szCs w:val="21"/>
              </w:rPr>
              <w:t>分。</w:t>
            </w:r>
          </w:p>
        </w:tc>
        <w:tc>
          <w:tcPr>
            <w:tcW w:w="1025" w:type="dxa"/>
            <w:vAlign w:val="center"/>
          </w:tcPr>
          <w:p>
            <w:pPr>
              <w:spacing w:line="360" w:lineRule="auto"/>
              <w:ind w:right="280"/>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Merge w:val="continue"/>
            <w:vAlign w:val="center"/>
          </w:tcPr>
          <w:p>
            <w:pPr>
              <w:spacing w:line="360" w:lineRule="auto"/>
              <w:ind w:right="280"/>
              <w:rPr>
                <w:rFonts w:ascii="宋体" w:hAnsi="宋体"/>
                <w:kern w:val="0"/>
                <w:sz w:val="24"/>
                <w:szCs w:val="24"/>
              </w:rPr>
            </w:pPr>
          </w:p>
        </w:tc>
        <w:tc>
          <w:tcPr>
            <w:tcW w:w="992" w:type="dxa"/>
            <w:vMerge w:val="continue"/>
            <w:vAlign w:val="center"/>
          </w:tcPr>
          <w:p>
            <w:pPr>
              <w:spacing w:line="360" w:lineRule="auto"/>
              <w:ind w:right="280"/>
              <w:jc w:val="center"/>
              <w:rPr>
                <w:rFonts w:ascii="宋体" w:hAnsi="宋体"/>
                <w:kern w:val="0"/>
                <w:sz w:val="24"/>
                <w:szCs w:val="24"/>
              </w:rPr>
            </w:pPr>
          </w:p>
        </w:tc>
        <w:tc>
          <w:tcPr>
            <w:tcW w:w="7938" w:type="dxa"/>
            <w:vAlign w:val="center"/>
          </w:tcPr>
          <w:p>
            <w:pPr>
              <w:autoSpaceDE w:val="0"/>
              <w:autoSpaceDN w:val="0"/>
              <w:adjustRightInd w:val="0"/>
              <w:spacing w:line="440" w:lineRule="exact"/>
              <w:jc w:val="left"/>
              <w:rPr>
                <w:rFonts w:ascii="宋体" w:hAnsi="宋体"/>
                <w:kern w:val="0"/>
                <w:sz w:val="24"/>
                <w:szCs w:val="24"/>
              </w:rPr>
            </w:pPr>
            <w:r>
              <w:rPr>
                <w:rFonts w:ascii="宋体" w:hAnsi="Times New Roman" w:cs="宋体"/>
                <w:kern w:val="0"/>
                <w:sz w:val="24"/>
                <w:szCs w:val="21"/>
              </w:rPr>
              <w:t>2.</w:t>
            </w:r>
            <w:r>
              <w:rPr>
                <w:rFonts w:hint="eastAsia" w:ascii="宋体" w:hAnsi="Times New Roman" w:cs="宋体"/>
                <w:kern w:val="0"/>
                <w:sz w:val="24"/>
                <w:szCs w:val="21"/>
              </w:rPr>
              <w:t>技术平台与设备的使用情况：在使用该技术平台与设备的院校中，得到院校和师生的一致好评，得</w:t>
            </w:r>
            <w:r>
              <w:rPr>
                <w:rFonts w:ascii="宋体" w:hAnsi="Times New Roman" w:cs="宋体"/>
                <w:kern w:val="0"/>
                <w:sz w:val="24"/>
                <w:szCs w:val="21"/>
              </w:rPr>
              <w:t xml:space="preserve">5 </w:t>
            </w:r>
            <w:r>
              <w:rPr>
                <w:rFonts w:hint="eastAsia" w:ascii="宋体" w:hAnsi="Times New Roman" w:cs="宋体"/>
                <w:kern w:val="0"/>
                <w:sz w:val="24"/>
                <w:szCs w:val="21"/>
              </w:rPr>
              <w:t>分；评价一般得</w:t>
            </w:r>
            <w:r>
              <w:rPr>
                <w:rFonts w:ascii="宋体" w:hAnsi="Times New Roman" w:cs="宋体"/>
                <w:kern w:val="0"/>
                <w:sz w:val="24"/>
                <w:szCs w:val="21"/>
              </w:rPr>
              <w:t xml:space="preserve">2 </w:t>
            </w:r>
            <w:r>
              <w:rPr>
                <w:rFonts w:hint="eastAsia" w:ascii="宋体" w:hAnsi="Times New Roman" w:cs="宋体"/>
                <w:kern w:val="0"/>
                <w:sz w:val="24"/>
                <w:szCs w:val="21"/>
              </w:rPr>
              <w:t>分。</w:t>
            </w:r>
          </w:p>
        </w:tc>
        <w:tc>
          <w:tcPr>
            <w:tcW w:w="1025" w:type="dxa"/>
            <w:vAlign w:val="center"/>
          </w:tcPr>
          <w:p>
            <w:pPr>
              <w:spacing w:line="360" w:lineRule="auto"/>
              <w:ind w:right="280"/>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Merge w:val="restart"/>
            <w:vAlign w:val="center"/>
          </w:tcPr>
          <w:p>
            <w:pPr>
              <w:autoSpaceDE w:val="0"/>
              <w:autoSpaceDN w:val="0"/>
              <w:adjustRightInd w:val="0"/>
              <w:spacing w:line="360" w:lineRule="auto"/>
              <w:rPr>
                <w:rFonts w:ascii="宋体" w:hAnsi="宋体" w:cs="仿宋"/>
                <w:kern w:val="0"/>
                <w:sz w:val="24"/>
                <w:szCs w:val="24"/>
              </w:rPr>
            </w:pPr>
            <w:r>
              <w:rPr>
                <w:rFonts w:hint="eastAsia" w:ascii="宋体" w:hAnsi="宋体" w:cs="仿宋"/>
                <w:kern w:val="0"/>
                <w:sz w:val="24"/>
                <w:szCs w:val="24"/>
              </w:rPr>
              <w:t>六、技术平台价格</w:t>
            </w:r>
          </w:p>
          <w:p>
            <w:pPr>
              <w:autoSpaceDE w:val="0"/>
              <w:autoSpaceDN w:val="0"/>
              <w:adjustRightInd w:val="0"/>
              <w:spacing w:line="360" w:lineRule="auto"/>
              <w:rPr>
                <w:rFonts w:ascii="宋体" w:hAnsi="宋体"/>
                <w:kern w:val="0"/>
                <w:sz w:val="24"/>
                <w:szCs w:val="24"/>
              </w:rPr>
            </w:pPr>
            <w:r>
              <w:rPr>
                <w:rFonts w:hint="eastAsia" w:ascii="宋体" w:hAnsi="宋体" w:cs="仿宋"/>
                <w:kern w:val="0"/>
                <w:sz w:val="24"/>
                <w:szCs w:val="24"/>
              </w:rPr>
              <w:t>主要从企业提供的技术平台与设备的价格合理性评价。</w:t>
            </w:r>
          </w:p>
        </w:tc>
        <w:tc>
          <w:tcPr>
            <w:tcW w:w="992" w:type="dxa"/>
            <w:vMerge w:val="restart"/>
            <w:vAlign w:val="center"/>
          </w:tcPr>
          <w:p>
            <w:pPr>
              <w:spacing w:line="360" w:lineRule="auto"/>
              <w:ind w:right="280"/>
              <w:jc w:val="center"/>
              <w:rPr>
                <w:rFonts w:ascii="宋体" w:hAnsi="宋体"/>
                <w:kern w:val="0"/>
                <w:sz w:val="24"/>
                <w:szCs w:val="24"/>
              </w:rPr>
            </w:pPr>
            <w:r>
              <w:rPr>
                <w:rFonts w:hint="eastAsia" w:ascii="宋体" w:hAnsi="宋体"/>
                <w:kern w:val="0"/>
                <w:sz w:val="24"/>
                <w:szCs w:val="24"/>
              </w:rPr>
              <w:t>10</w:t>
            </w:r>
          </w:p>
        </w:tc>
        <w:tc>
          <w:tcPr>
            <w:tcW w:w="7938" w:type="dxa"/>
            <w:vAlign w:val="center"/>
          </w:tcPr>
          <w:p>
            <w:pPr>
              <w:autoSpaceDE w:val="0"/>
              <w:autoSpaceDN w:val="0"/>
              <w:adjustRightInd w:val="0"/>
              <w:spacing w:line="440" w:lineRule="exact"/>
              <w:jc w:val="left"/>
              <w:rPr>
                <w:rFonts w:ascii="宋体" w:hAnsi="宋体"/>
                <w:kern w:val="0"/>
                <w:sz w:val="24"/>
                <w:szCs w:val="24"/>
              </w:rPr>
            </w:pPr>
            <w:r>
              <w:rPr>
                <w:rFonts w:ascii="宋体" w:hAnsi="Times New Roman" w:cs="宋体"/>
                <w:kern w:val="0"/>
                <w:sz w:val="24"/>
                <w:szCs w:val="24"/>
              </w:rPr>
              <w:t>1.</w:t>
            </w:r>
            <w:r>
              <w:rPr>
                <w:rFonts w:hint="eastAsia" w:ascii="宋体" w:hAnsi="Times New Roman" w:cs="宋体"/>
                <w:kern w:val="0"/>
                <w:sz w:val="24"/>
                <w:szCs w:val="24"/>
              </w:rPr>
              <w:t>技术平台与设备的价格与市场同类技术平台与设备价格比较：有比较且合理得</w:t>
            </w:r>
            <w:r>
              <w:rPr>
                <w:rFonts w:ascii="宋体" w:hAnsi="Times New Roman" w:cs="宋体"/>
                <w:kern w:val="0"/>
                <w:sz w:val="24"/>
                <w:szCs w:val="24"/>
              </w:rPr>
              <w:t xml:space="preserve">5 </w:t>
            </w:r>
            <w:r>
              <w:rPr>
                <w:rFonts w:hint="eastAsia" w:ascii="宋体" w:hAnsi="Times New Roman" w:cs="宋体"/>
                <w:kern w:val="0"/>
                <w:sz w:val="24"/>
                <w:szCs w:val="24"/>
              </w:rPr>
              <w:t>分，基本合理得</w:t>
            </w:r>
            <w:r>
              <w:rPr>
                <w:rFonts w:ascii="宋体" w:hAnsi="Times New Roman" w:cs="宋体"/>
                <w:kern w:val="0"/>
                <w:sz w:val="24"/>
                <w:szCs w:val="24"/>
              </w:rPr>
              <w:t>3</w:t>
            </w:r>
            <w:r>
              <w:rPr>
                <w:rFonts w:hint="eastAsia" w:ascii="宋体" w:hAnsi="Times New Roman" w:cs="宋体"/>
                <w:kern w:val="0"/>
                <w:sz w:val="24"/>
                <w:szCs w:val="24"/>
              </w:rPr>
              <w:t>分，如专家认为技术平台价格不合理则该处写“否决”，不填具体分数。</w:t>
            </w:r>
          </w:p>
        </w:tc>
        <w:tc>
          <w:tcPr>
            <w:tcW w:w="1025" w:type="dxa"/>
            <w:vAlign w:val="center"/>
          </w:tcPr>
          <w:p>
            <w:pPr>
              <w:spacing w:line="360" w:lineRule="auto"/>
              <w:ind w:right="280"/>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Merge w:val="continue"/>
            <w:vAlign w:val="center"/>
          </w:tcPr>
          <w:p>
            <w:pPr>
              <w:spacing w:line="360" w:lineRule="auto"/>
              <w:ind w:right="280"/>
              <w:rPr>
                <w:rFonts w:ascii="宋体" w:hAnsi="宋体"/>
                <w:kern w:val="0"/>
                <w:sz w:val="24"/>
                <w:szCs w:val="24"/>
              </w:rPr>
            </w:pPr>
          </w:p>
        </w:tc>
        <w:tc>
          <w:tcPr>
            <w:tcW w:w="992" w:type="dxa"/>
            <w:vMerge w:val="continue"/>
            <w:vAlign w:val="center"/>
          </w:tcPr>
          <w:p>
            <w:pPr>
              <w:spacing w:line="360" w:lineRule="auto"/>
              <w:ind w:right="280"/>
              <w:jc w:val="center"/>
              <w:rPr>
                <w:rFonts w:ascii="宋体" w:hAnsi="宋体"/>
                <w:kern w:val="0"/>
                <w:sz w:val="24"/>
                <w:szCs w:val="24"/>
              </w:rPr>
            </w:pPr>
          </w:p>
        </w:tc>
        <w:tc>
          <w:tcPr>
            <w:tcW w:w="7938" w:type="dxa"/>
            <w:vAlign w:val="center"/>
          </w:tcPr>
          <w:p>
            <w:pPr>
              <w:autoSpaceDE w:val="0"/>
              <w:autoSpaceDN w:val="0"/>
              <w:adjustRightInd w:val="0"/>
              <w:spacing w:line="440" w:lineRule="exact"/>
              <w:jc w:val="left"/>
              <w:rPr>
                <w:rFonts w:ascii="宋体" w:hAnsi="宋体"/>
                <w:kern w:val="0"/>
                <w:sz w:val="24"/>
                <w:szCs w:val="24"/>
              </w:rPr>
            </w:pPr>
            <w:r>
              <w:rPr>
                <w:rFonts w:ascii="宋体" w:hAnsi="Times New Roman" w:cs="宋体"/>
                <w:kern w:val="0"/>
                <w:sz w:val="24"/>
                <w:szCs w:val="24"/>
              </w:rPr>
              <w:t>2.</w:t>
            </w:r>
            <w:r>
              <w:rPr>
                <w:rFonts w:hint="eastAsia" w:ascii="宋体" w:hAnsi="Times New Roman" w:cs="宋体"/>
                <w:kern w:val="0"/>
                <w:sz w:val="24"/>
                <w:szCs w:val="24"/>
              </w:rPr>
              <w:t>技术平台与设备最终的承诺价格：合理得</w:t>
            </w:r>
            <w:r>
              <w:rPr>
                <w:rFonts w:ascii="宋体" w:hAnsi="Times New Roman" w:cs="宋体"/>
                <w:kern w:val="0"/>
                <w:sz w:val="24"/>
                <w:szCs w:val="24"/>
              </w:rPr>
              <w:t xml:space="preserve">5 </w:t>
            </w:r>
            <w:r>
              <w:rPr>
                <w:rFonts w:hint="eastAsia" w:ascii="宋体" w:hAnsi="Times New Roman" w:cs="宋体"/>
                <w:kern w:val="0"/>
                <w:sz w:val="24"/>
                <w:szCs w:val="24"/>
              </w:rPr>
              <w:t>分，基本合理得</w:t>
            </w:r>
            <w:r>
              <w:rPr>
                <w:rFonts w:ascii="宋体" w:hAnsi="Times New Roman" w:cs="宋体"/>
                <w:kern w:val="0"/>
                <w:sz w:val="24"/>
                <w:szCs w:val="24"/>
              </w:rPr>
              <w:t xml:space="preserve">3 </w:t>
            </w:r>
            <w:r>
              <w:rPr>
                <w:rFonts w:hint="eastAsia" w:ascii="宋体" w:hAnsi="Times New Roman" w:cs="宋体"/>
                <w:kern w:val="0"/>
                <w:sz w:val="24"/>
                <w:szCs w:val="24"/>
              </w:rPr>
              <w:t>分，价格不合理的建议否决。如专家认为技术平台最终的承诺价格不合理则该处写“否决”，不填具体分数。</w:t>
            </w:r>
          </w:p>
        </w:tc>
        <w:tc>
          <w:tcPr>
            <w:tcW w:w="1025" w:type="dxa"/>
            <w:vAlign w:val="center"/>
          </w:tcPr>
          <w:p>
            <w:pPr>
              <w:spacing w:line="360" w:lineRule="auto"/>
              <w:ind w:right="280"/>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Merge w:val="restart"/>
            <w:vAlign w:val="center"/>
          </w:tcPr>
          <w:p>
            <w:pPr>
              <w:autoSpaceDE w:val="0"/>
              <w:autoSpaceDN w:val="0"/>
              <w:adjustRightInd w:val="0"/>
              <w:spacing w:line="360" w:lineRule="auto"/>
              <w:rPr>
                <w:rFonts w:ascii="宋体" w:hAnsi="宋体" w:cs="仿宋"/>
                <w:kern w:val="0"/>
                <w:sz w:val="24"/>
                <w:szCs w:val="24"/>
              </w:rPr>
            </w:pPr>
            <w:r>
              <w:rPr>
                <w:rFonts w:hint="eastAsia" w:ascii="宋体" w:hAnsi="宋体" w:cs="仿宋"/>
                <w:kern w:val="0"/>
                <w:sz w:val="24"/>
                <w:szCs w:val="24"/>
              </w:rPr>
              <w:t>七、对大赛支持力度</w:t>
            </w:r>
          </w:p>
          <w:p>
            <w:pPr>
              <w:autoSpaceDE w:val="0"/>
              <w:autoSpaceDN w:val="0"/>
              <w:adjustRightInd w:val="0"/>
              <w:spacing w:line="360" w:lineRule="auto"/>
              <w:rPr>
                <w:rFonts w:ascii="宋体" w:hAnsi="宋体" w:cs="仿宋"/>
                <w:kern w:val="0"/>
                <w:sz w:val="24"/>
                <w:szCs w:val="24"/>
              </w:rPr>
            </w:pPr>
            <w:r>
              <w:rPr>
                <w:rFonts w:hint="eastAsia" w:ascii="宋体" w:hAnsi="宋体" w:cs="仿宋"/>
                <w:kern w:val="0"/>
                <w:sz w:val="24"/>
                <w:szCs w:val="24"/>
              </w:rPr>
              <w:t>主要从企业对大赛提供的经费、人</w:t>
            </w:r>
          </w:p>
          <w:p>
            <w:pPr>
              <w:spacing w:line="360" w:lineRule="auto"/>
              <w:ind w:right="280"/>
              <w:rPr>
                <w:rFonts w:ascii="宋体" w:hAnsi="宋体"/>
                <w:kern w:val="0"/>
                <w:sz w:val="24"/>
                <w:szCs w:val="24"/>
              </w:rPr>
            </w:pPr>
            <w:r>
              <w:rPr>
                <w:rFonts w:hint="eastAsia" w:ascii="宋体" w:hAnsi="宋体" w:cs="仿宋"/>
                <w:kern w:val="0"/>
                <w:sz w:val="24"/>
                <w:szCs w:val="24"/>
              </w:rPr>
              <w:t>员、技术、产品及服务等方面综合评价。</w:t>
            </w:r>
          </w:p>
        </w:tc>
        <w:tc>
          <w:tcPr>
            <w:tcW w:w="992" w:type="dxa"/>
            <w:vMerge w:val="restart"/>
            <w:vAlign w:val="center"/>
          </w:tcPr>
          <w:p>
            <w:pPr>
              <w:spacing w:line="360" w:lineRule="auto"/>
              <w:ind w:right="280"/>
              <w:jc w:val="center"/>
              <w:rPr>
                <w:rFonts w:ascii="宋体" w:hAnsi="宋体"/>
                <w:kern w:val="0"/>
                <w:sz w:val="24"/>
                <w:szCs w:val="24"/>
              </w:rPr>
            </w:pPr>
            <w:r>
              <w:rPr>
                <w:rFonts w:hint="eastAsia" w:ascii="宋体" w:hAnsi="宋体"/>
                <w:kern w:val="0"/>
                <w:sz w:val="24"/>
                <w:szCs w:val="24"/>
              </w:rPr>
              <w:t>20</w:t>
            </w:r>
          </w:p>
        </w:tc>
        <w:tc>
          <w:tcPr>
            <w:tcW w:w="7938" w:type="dxa"/>
            <w:vAlign w:val="center"/>
          </w:tcPr>
          <w:p>
            <w:pPr>
              <w:autoSpaceDE w:val="0"/>
              <w:autoSpaceDN w:val="0"/>
              <w:adjustRightInd w:val="0"/>
              <w:spacing w:line="440" w:lineRule="exact"/>
              <w:jc w:val="left"/>
              <w:rPr>
                <w:rFonts w:ascii="宋体" w:hAnsi="宋体"/>
                <w:kern w:val="0"/>
                <w:sz w:val="24"/>
                <w:szCs w:val="24"/>
              </w:rPr>
            </w:pPr>
            <w:r>
              <w:rPr>
                <w:rFonts w:ascii="宋体" w:hAnsi="Times New Roman" w:cs="宋体"/>
                <w:kern w:val="0"/>
                <w:sz w:val="24"/>
                <w:szCs w:val="21"/>
              </w:rPr>
              <w:t>1.</w:t>
            </w:r>
            <w:r>
              <w:rPr>
                <w:rFonts w:hint="eastAsia" w:ascii="宋体" w:hAnsi="Times New Roman" w:cs="宋体"/>
                <w:kern w:val="0"/>
                <w:sz w:val="24"/>
                <w:szCs w:val="21"/>
              </w:rPr>
              <w:t>经费捐赠：根据实际捐赠费用与赛项运营全部费用比值，按</w:t>
            </w:r>
            <w:r>
              <w:rPr>
                <w:rFonts w:ascii="宋体" w:hAnsi="Times New Roman" w:cs="宋体"/>
                <w:kern w:val="0"/>
                <w:sz w:val="24"/>
                <w:szCs w:val="21"/>
              </w:rPr>
              <w:t xml:space="preserve">1~10 </w:t>
            </w:r>
            <w:r>
              <w:rPr>
                <w:rFonts w:hint="eastAsia" w:ascii="宋体" w:hAnsi="Times New Roman" w:cs="宋体"/>
                <w:kern w:val="0"/>
                <w:sz w:val="24"/>
                <w:szCs w:val="21"/>
              </w:rPr>
              <w:t>分赋分，往年承诺未兑现的取消当年合作企业参评资格，且未来三年禁止参与大赛。</w:t>
            </w:r>
          </w:p>
        </w:tc>
        <w:tc>
          <w:tcPr>
            <w:tcW w:w="1025" w:type="dxa"/>
            <w:vAlign w:val="center"/>
          </w:tcPr>
          <w:p>
            <w:pPr>
              <w:spacing w:line="360" w:lineRule="auto"/>
              <w:ind w:right="280"/>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Merge w:val="continue"/>
            <w:vAlign w:val="center"/>
          </w:tcPr>
          <w:p>
            <w:pPr>
              <w:spacing w:line="360" w:lineRule="auto"/>
              <w:ind w:right="280"/>
              <w:rPr>
                <w:rFonts w:ascii="宋体" w:hAnsi="宋体"/>
                <w:kern w:val="0"/>
                <w:sz w:val="24"/>
                <w:szCs w:val="24"/>
              </w:rPr>
            </w:pPr>
          </w:p>
        </w:tc>
        <w:tc>
          <w:tcPr>
            <w:tcW w:w="992" w:type="dxa"/>
            <w:vMerge w:val="continue"/>
            <w:vAlign w:val="center"/>
          </w:tcPr>
          <w:p>
            <w:pPr>
              <w:spacing w:line="360" w:lineRule="auto"/>
              <w:ind w:right="280"/>
              <w:jc w:val="center"/>
              <w:rPr>
                <w:rFonts w:ascii="宋体" w:hAnsi="宋体"/>
                <w:kern w:val="0"/>
                <w:sz w:val="24"/>
                <w:szCs w:val="24"/>
              </w:rPr>
            </w:pPr>
          </w:p>
        </w:tc>
        <w:tc>
          <w:tcPr>
            <w:tcW w:w="7938" w:type="dxa"/>
            <w:vAlign w:val="center"/>
          </w:tcPr>
          <w:p>
            <w:pPr>
              <w:autoSpaceDE w:val="0"/>
              <w:autoSpaceDN w:val="0"/>
              <w:adjustRightInd w:val="0"/>
              <w:spacing w:line="440" w:lineRule="exact"/>
              <w:jc w:val="left"/>
              <w:rPr>
                <w:rFonts w:ascii="宋体" w:hAnsi="宋体"/>
                <w:kern w:val="0"/>
                <w:sz w:val="24"/>
                <w:szCs w:val="24"/>
              </w:rPr>
            </w:pPr>
            <w:r>
              <w:rPr>
                <w:rFonts w:ascii="宋体" w:hAnsi="Times New Roman" w:cs="宋体"/>
                <w:kern w:val="0"/>
                <w:sz w:val="24"/>
                <w:szCs w:val="21"/>
              </w:rPr>
              <w:t>2.</w:t>
            </w:r>
            <w:r>
              <w:rPr>
                <w:rFonts w:hint="eastAsia" w:ascii="宋体" w:hAnsi="Times New Roman" w:cs="宋体"/>
                <w:kern w:val="0"/>
                <w:sz w:val="24"/>
                <w:szCs w:val="21"/>
              </w:rPr>
              <w:t>提供设备支持：承诺为赛项免费提供设备支持得</w:t>
            </w:r>
            <w:r>
              <w:rPr>
                <w:rFonts w:ascii="宋体" w:hAnsi="Times New Roman" w:cs="宋体"/>
                <w:kern w:val="0"/>
                <w:sz w:val="24"/>
                <w:szCs w:val="21"/>
              </w:rPr>
              <w:t xml:space="preserve">8 </w:t>
            </w:r>
            <w:r>
              <w:rPr>
                <w:rFonts w:hint="eastAsia" w:ascii="宋体" w:hAnsi="Times New Roman" w:cs="宋体"/>
                <w:kern w:val="0"/>
                <w:sz w:val="24"/>
                <w:szCs w:val="21"/>
              </w:rPr>
              <w:t>分，没有不得分，往年承诺未兑现的取消当年合作企业参评资格，且未来三年禁止参与大赛。</w:t>
            </w:r>
          </w:p>
        </w:tc>
        <w:tc>
          <w:tcPr>
            <w:tcW w:w="1025" w:type="dxa"/>
            <w:vAlign w:val="center"/>
          </w:tcPr>
          <w:p>
            <w:pPr>
              <w:spacing w:line="360" w:lineRule="auto"/>
              <w:ind w:right="280"/>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Merge w:val="continue"/>
            <w:vAlign w:val="center"/>
          </w:tcPr>
          <w:p>
            <w:pPr>
              <w:spacing w:line="360" w:lineRule="auto"/>
              <w:ind w:right="280"/>
              <w:rPr>
                <w:rFonts w:ascii="宋体" w:hAnsi="宋体"/>
                <w:kern w:val="0"/>
                <w:sz w:val="24"/>
                <w:szCs w:val="24"/>
              </w:rPr>
            </w:pPr>
          </w:p>
        </w:tc>
        <w:tc>
          <w:tcPr>
            <w:tcW w:w="992" w:type="dxa"/>
            <w:vMerge w:val="continue"/>
            <w:vAlign w:val="center"/>
          </w:tcPr>
          <w:p>
            <w:pPr>
              <w:spacing w:line="360" w:lineRule="auto"/>
              <w:ind w:right="280"/>
              <w:jc w:val="center"/>
              <w:rPr>
                <w:rFonts w:ascii="宋体" w:hAnsi="宋体"/>
                <w:kern w:val="0"/>
                <w:sz w:val="24"/>
                <w:szCs w:val="24"/>
              </w:rPr>
            </w:pPr>
          </w:p>
        </w:tc>
        <w:tc>
          <w:tcPr>
            <w:tcW w:w="7938" w:type="dxa"/>
            <w:vAlign w:val="center"/>
          </w:tcPr>
          <w:p>
            <w:pPr>
              <w:autoSpaceDE w:val="0"/>
              <w:autoSpaceDN w:val="0"/>
              <w:adjustRightInd w:val="0"/>
              <w:spacing w:line="440" w:lineRule="exact"/>
              <w:jc w:val="left"/>
              <w:rPr>
                <w:rFonts w:ascii="宋体" w:hAnsi="宋体"/>
                <w:kern w:val="0"/>
                <w:sz w:val="24"/>
                <w:szCs w:val="24"/>
              </w:rPr>
            </w:pPr>
            <w:r>
              <w:rPr>
                <w:rFonts w:ascii="宋体" w:hAnsi="Times New Roman" w:cs="宋体"/>
                <w:kern w:val="0"/>
                <w:sz w:val="24"/>
                <w:szCs w:val="21"/>
              </w:rPr>
              <w:t>3.</w:t>
            </w:r>
            <w:r>
              <w:rPr>
                <w:rFonts w:hint="eastAsia" w:ascii="宋体" w:hAnsi="Times New Roman" w:cs="宋体"/>
                <w:kern w:val="0"/>
                <w:sz w:val="24"/>
                <w:szCs w:val="21"/>
              </w:rPr>
              <w:t>提供其他服务：承诺为赛项免费提供其他服务得</w:t>
            </w:r>
            <w:r>
              <w:rPr>
                <w:rFonts w:ascii="宋体" w:hAnsi="Times New Roman" w:cs="宋体"/>
                <w:kern w:val="0"/>
                <w:sz w:val="24"/>
                <w:szCs w:val="21"/>
              </w:rPr>
              <w:t xml:space="preserve">2 </w:t>
            </w:r>
            <w:r>
              <w:rPr>
                <w:rFonts w:hint="eastAsia" w:ascii="宋体" w:hAnsi="Times New Roman" w:cs="宋体"/>
                <w:kern w:val="0"/>
                <w:sz w:val="24"/>
                <w:szCs w:val="21"/>
              </w:rPr>
              <w:t>分，没有不得分，往年承诺未兑现的取消当年合作企业参评资格，且未来三年禁止参与大赛。</w:t>
            </w:r>
          </w:p>
        </w:tc>
        <w:tc>
          <w:tcPr>
            <w:tcW w:w="1025" w:type="dxa"/>
            <w:vAlign w:val="center"/>
          </w:tcPr>
          <w:p>
            <w:pPr>
              <w:spacing w:line="360" w:lineRule="auto"/>
              <w:ind w:right="280"/>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spacing w:line="360" w:lineRule="auto"/>
              <w:ind w:right="280"/>
              <w:rPr>
                <w:rFonts w:ascii="宋体" w:hAnsi="宋体"/>
                <w:kern w:val="0"/>
                <w:sz w:val="24"/>
                <w:szCs w:val="24"/>
              </w:rPr>
            </w:pPr>
            <w:r>
              <w:rPr>
                <w:rFonts w:hint="eastAsia" w:ascii="宋体" w:hAnsi="宋体" w:cs="仿宋"/>
                <w:kern w:val="0"/>
                <w:sz w:val="24"/>
                <w:szCs w:val="24"/>
              </w:rPr>
              <w:t>八、企业答辩情况</w:t>
            </w:r>
          </w:p>
        </w:tc>
        <w:tc>
          <w:tcPr>
            <w:tcW w:w="992" w:type="dxa"/>
            <w:vAlign w:val="center"/>
          </w:tcPr>
          <w:p>
            <w:pPr>
              <w:spacing w:line="360" w:lineRule="auto"/>
              <w:ind w:right="280"/>
              <w:jc w:val="center"/>
              <w:rPr>
                <w:rFonts w:ascii="宋体" w:hAnsi="宋体"/>
                <w:kern w:val="0"/>
                <w:sz w:val="24"/>
                <w:szCs w:val="24"/>
              </w:rPr>
            </w:pPr>
            <w:r>
              <w:rPr>
                <w:rFonts w:hint="eastAsia" w:ascii="宋体" w:hAnsi="宋体"/>
                <w:kern w:val="0"/>
                <w:sz w:val="24"/>
                <w:szCs w:val="24"/>
              </w:rPr>
              <w:t>10</w:t>
            </w:r>
          </w:p>
        </w:tc>
        <w:tc>
          <w:tcPr>
            <w:tcW w:w="7938" w:type="dxa"/>
            <w:vAlign w:val="center"/>
          </w:tcPr>
          <w:p>
            <w:pPr>
              <w:autoSpaceDE w:val="0"/>
              <w:autoSpaceDN w:val="0"/>
              <w:adjustRightInd w:val="0"/>
              <w:spacing w:line="440" w:lineRule="exact"/>
              <w:jc w:val="left"/>
              <w:rPr>
                <w:rFonts w:ascii="宋体" w:hAnsi="宋体"/>
                <w:kern w:val="0"/>
                <w:sz w:val="24"/>
                <w:szCs w:val="24"/>
              </w:rPr>
            </w:pPr>
            <w:r>
              <w:rPr>
                <w:rFonts w:hint="eastAsia" w:ascii="宋体" w:hAnsi="Times New Roman" w:cs="宋体"/>
                <w:kern w:val="0"/>
                <w:sz w:val="24"/>
                <w:szCs w:val="21"/>
              </w:rPr>
              <w:t>原则上专家自主提问二个问题。注意：对上述评分参考标准中企业没有回答清楚的问题进行询问，不属于自主提问。</w:t>
            </w:r>
          </w:p>
        </w:tc>
        <w:tc>
          <w:tcPr>
            <w:tcW w:w="1025" w:type="dxa"/>
            <w:vAlign w:val="center"/>
          </w:tcPr>
          <w:p>
            <w:pPr>
              <w:spacing w:line="360" w:lineRule="auto"/>
              <w:ind w:right="280"/>
              <w:rPr>
                <w:rFonts w:ascii="宋体" w:hAnsi="宋体"/>
                <w:kern w:val="0"/>
                <w:sz w:val="24"/>
                <w:szCs w:val="24"/>
              </w:rPr>
            </w:pPr>
          </w:p>
        </w:tc>
      </w:tr>
    </w:tbl>
    <w:p/>
    <w:p>
      <w:pPr>
        <w:ind w:right="280"/>
        <w:jc w:val="left"/>
        <w:rPr>
          <w:rFonts w:asciiTheme="minorEastAsia" w:hAnsiTheme="minorEastAsia"/>
          <w:sz w:val="28"/>
          <w:szCs w:val="28"/>
        </w:rPr>
      </w:pPr>
    </w:p>
    <w:p/>
    <w:sectPr>
      <w:pgSz w:w="16838" w:h="11906" w:orient="landscape"/>
      <w:pgMar w:top="1474" w:right="1440" w:bottom="130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ZFSJW--GB1-0">
    <w:altName w:val="宋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5AF0126"/>
    <w:rsid w:val="05AF0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2023-09-07T01:35:00Z</dcterms:created>
  <dc:creator>AA</dc:creator>
  <cp:lastModifiedBy>AA</cp:lastModifiedBy>
  <dcterms:modified xsi:type="dcterms:W3CDTF">2023-09-07T01:36:08Z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554524863FF747CFB99F67C7ADE2F478_11</vt:lpwstr>
  </property>
</Properties>
</file>